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52"/>
          <w:szCs w:val="52"/>
        </w:rPr>
      </w:pPr>
      <w:r>
        <w:rPr>
          <w:rFonts w:hint="eastAsia" w:ascii="宋体" w:hAnsi="宋体" w:eastAsia="等线"/>
          <w:sz w:val="52"/>
          <w:szCs w:val="52"/>
          <w:lang w:eastAsia="zh-CN"/>
        </w:rPr>
        <w:drawing>
          <wp:anchor distT="0" distB="0" distL="114300" distR="114300" simplePos="0" relativeHeight="251659264" behindDoc="0" locked="0" layoutInCell="1" allowOverlap="1">
            <wp:simplePos x="0" y="0"/>
            <wp:positionH relativeFrom="column">
              <wp:posOffset>-50800</wp:posOffset>
            </wp:positionH>
            <wp:positionV relativeFrom="paragraph">
              <wp:posOffset>528320</wp:posOffset>
            </wp:positionV>
            <wp:extent cx="5169535" cy="7200265"/>
            <wp:effectExtent l="0" t="0" r="12065" b="635"/>
            <wp:wrapSquare wrapText="bothSides"/>
            <wp:docPr id="5" name="图片 5" descr="febdfeb07a797d2116b5aefd748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ebdfeb07a797d2116b5aefd7485482"/>
                    <pic:cNvPicPr>
                      <a:picLocks noChangeAspect="1"/>
                    </pic:cNvPicPr>
                  </pic:nvPicPr>
                  <pic:blipFill>
                    <a:blip r:embed="rId10"/>
                    <a:stretch>
                      <a:fillRect/>
                    </a:stretch>
                  </pic:blipFill>
                  <pic:spPr>
                    <a:xfrm>
                      <a:off x="0" y="0"/>
                      <a:ext cx="5169535" cy="7200265"/>
                    </a:xfrm>
                    <a:prstGeom prst="rect">
                      <a:avLst/>
                    </a:prstGeom>
                  </pic:spPr>
                </pic:pic>
              </a:graphicData>
            </a:graphic>
          </wp:anchor>
        </w:drawing>
      </w:r>
    </w:p>
    <w:p>
      <w:r>
        <w:br w:type="page"/>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bookmarkStart w:id="13" w:name="_GoBack"/>
      <w:r>
        <w:rPr>
          <w:rFonts w:hint="eastAsia" w:asciiTheme="minorEastAsia" w:hAnsiTheme="minorEastAsia" w:eastAsiaTheme="minorEastAsia" w:cstheme="minorEastAsia"/>
          <w:sz w:val="28"/>
          <w:szCs w:val="28"/>
        </w:rPr>
        <w:t>为自觉履行保护环境的义务，主动接受社会监督，按照《国家重点监控企业自行监测及信息公开办法（试行）》（环发[2013]81号）、环境影响评价报告书及其批复、国家或地方污染物排放标准以及环境监测技术规范等规定和要求，根据污水处理厂的实际生产情况，</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lang w:val="en-US" w:eastAsia="zh-CN"/>
        </w:rPr>
        <w:t>2023年度眉山市派普污水处理有限公司自行监测执行情况进行总结。</w:t>
      </w:r>
    </w:p>
    <w:p>
      <w:pPr>
        <w:rPr>
          <w:rFonts w:hint="eastAsia" w:ascii="Times New Roman"/>
          <w:sz w:val="24"/>
          <w:lang w:val="en-US" w:eastAsia="zh-CN"/>
        </w:rPr>
      </w:pPr>
      <w:r>
        <w:rPr>
          <w:rFonts w:hint="eastAsia" w:ascii="Times New Roman"/>
          <w:sz w:val="24"/>
          <w:lang w:val="en-US" w:eastAsia="zh-CN"/>
        </w:rPr>
        <w:br w:type="page"/>
      </w:r>
    </w:p>
    <w:p>
      <w:pPr>
        <w:pStyle w:val="2"/>
        <w:jc w:val="center"/>
        <w:rPr>
          <w:rFonts w:hint="eastAsia" w:ascii="Times New Roman"/>
          <w:sz w:val="24"/>
          <w:lang w:val="en-US" w:eastAsia="zh-CN"/>
        </w:rPr>
      </w:pPr>
      <w:r>
        <w:rPr>
          <w:rFonts w:hint="eastAsia" w:ascii="Times New Roman"/>
          <w:sz w:val="24"/>
          <w:lang w:val="en-US" w:eastAsia="zh-CN"/>
        </w:rPr>
        <w:t>目录</w:t>
      </w:r>
    </w:p>
    <w:p>
      <w:pPr>
        <w:pStyle w:val="9"/>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"_Toc53598606"</w:instrText>
      </w:r>
      <w:r>
        <w:rPr>
          <w:rStyle w:val="14"/>
          <w:color w:val="auto"/>
          <w:u w:val="none"/>
        </w:rPr>
        <w:instrText xml:space="preserve"> </w:instrText>
      </w:r>
      <w:r>
        <w:rPr>
          <w:rStyle w:val="14"/>
          <w:color w:val="auto"/>
          <w:u w:val="none"/>
        </w:rPr>
        <w:fldChar w:fldCharType="separate"/>
      </w:r>
      <w:r>
        <w:rPr>
          <w:rStyle w:val="14"/>
          <w:rFonts w:ascii="黑体" w:hAnsi="黑体" w:cs="黑体"/>
          <w:color w:val="auto"/>
          <w:u w:val="none"/>
        </w:rPr>
        <w:t>1.</w:t>
      </w:r>
      <w:r>
        <w:rPr>
          <w:rStyle w:val="14"/>
          <w:rFonts w:hint="eastAsia" w:ascii="黑体" w:hAnsi="黑体" w:cs="黑体"/>
          <w:color w:val="auto"/>
          <w:u w:val="none"/>
        </w:rPr>
        <w:t>公司基本情况</w:t>
      </w:r>
      <w:r>
        <w:rPr>
          <w:color w:val="auto"/>
          <w:u w:val="none"/>
        </w:rPr>
        <w:tab/>
      </w:r>
      <w:r>
        <w:rPr>
          <w:color w:val="auto"/>
          <w:u w:val="none"/>
        </w:rPr>
        <w:fldChar w:fldCharType="begin"/>
      </w:r>
      <w:r>
        <w:rPr>
          <w:color w:val="auto"/>
          <w:u w:val="none"/>
        </w:rPr>
        <w:instrText xml:space="preserve"> PAGEREF _Toc53598606 \h </w:instrText>
      </w:r>
      <w:r>
        <w:rPr>
          <w:color w:val="auto"/>
          <w:u w:val="none"/>
        </w:rPr>
        <w:fldChar w:fldCharType="separate"/>
      </w:r>
      <w:r>
        <w:rPr>
          <w:color w:val="auto"/>
          <w:u w:val="none"/>
        </w:rPr>
        <w:t>1</w:t>
      </w:r>
      <w:r>
        <w:rPr>
          <w:color w:val="auto"/>
          <w:u w:val="none"/>
        </w:rPr>
        <w:fldChar w:fldCharType="end"/>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"_Toc53598607"</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 xml:space="preserve">1.1 </w:t>
      </w:r>
      <w:r>
        <w:rPr>
          <w:rStyle w:val="14"/>
          <w:rFonts w:hint="eastAsia" w:ascii="黑体" w:hAnsi="黑体" w:eastAsia="黑体" w:cs="黑体"/>
          <w:color w:val="auto"/>
          <w:u w:val="none"/>
        </w:rPr>
        <w:t>基础信息</w:t>
      </w:r>
      <w:r>
        <w:rPr>
          <w:color w:val="auto"/>
          <w:u w:val="none"/>
        </w:rPr>
        <w:tab/>
      </w:r>
      <w:r>
        <w:rPr>
          <w:color w:val="auto"/>
          <w:u w:val="none"/>
        </w:rPr>
        <w:fldChar w:fldCharType="begin"/>
      </w:r>
      <w:r>
        <w:rPr>
          <w:color w:val="auto"/>
          <w:u w:val="none"/>
        </w:rPr>
        <w:instrText xml:space="preserve"> PAGEREF _Toc53598607 \h </w:instrText>
      </w:r>
      <w:r>
        <w:rPr>
          <w:color w:val="auto"/>
          <w:u w:val="none"/>
        </w:rPr>
        <w:fldChar w:fldCharType="separate"/>
      </w:r>
      <w:r>
        <w:rPr>
          <w:color w:val="auto"/>
          <w:u w:val="none"/>
        </w:rPr>
        <w:t>1</w:t>
      </w:r>
      <w:r>
        <w:rPr>
          <w:color w:val="auto"/>
          <w:u w:val="none"/>
        </w:rPr>
        <w:fldChar w:fldCharType="end"/>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"_Toc53598608"</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1.2</w:t>
      </w:r>
      <w:r>
        <w:rPr>
          <w:rStyle w:val="14"/>
          <w:rFonts w:hint="eastAsia" w:ascii="黑体" w:hAnsi="黑体" w:eastAsia="黑体" w:cs="黑体"/>
          <w:color w:val="auto"/>
          <w:u w:val="none"/>
        </w:rPr>
        <w:t>生产工艺及产排污情况</w:t>
      </w:r>
      <w:r>
        <w:rPr>
          <w:color w:val="auto"/>
          <w:u w:val="none"/>
        </w:rPr>
        <w:tab/>
      </w:r>
      <w:r>
        <w:rPr>
          <w:color w:val="auto"/>
          <w:u w:val="none"/>
        </w:rPr>
        <w:fldChar w:fldCharType="begin"/>
      </w:r>
      <w:r>
        <w:rPr>
          <w:color w:val="auto"/>
          <w:u w:val="none"/>
        </w:rPr>
        <w:instrText xml:space="preserve"> PAGEREF _Toc53598608 \h </w:instrText>
      </w:r>
      <w:r>
        <w:rPr>
          <w:color w:val="auto"/>
          <w:u w:val="none"/>
        </w:rPr>
        <w:fldChar w:fldCharType="separate"/>
      </w:r>
      <w:r>
        <w:rPr>
          <w:color w:val="auto"/>
          <w:u w:val="none"/>
        </w:rPr>
        <w:t>2</w:t>
      </w:r>
      <w:r>
        <w:rPr>
          <w:color w:val="auto"/>
          <w:u w:val="none"/>
        </w:rPr>
        <w:fldChar w:fldCharType="end"/>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"_Toc53598609"</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1.3</w:t>
      </w:r>
      <w:r>
        <w:rPr>
          <w:rStyle w:val="14"/>
          <w:rFonts w:hint="eastAsia" w:ascii="黑体" w:hAnsi="黑体" w:eastAsia="黑体" w:cs="黑体"/>
          <w:color w:val="auto"/>
          <w:u w:val="none"/>
        </w:rPr>
        <w:t>工艺流程</w:t>
      </w:r>
      <w:r>
        <w:rPr>
          <w:color w:val="auto"/>
          <w:u w:val="none"/>
        </w:rPr>
        <w:tab/>
      </w:r>
      <w:r>
        <w:rPr>
          <w:color w:val="auto"/>
          <w:u w:val="none"/>
        </w:rPr>
        <w:fldChar w:fldCharType="begin"/>
      </w:r>
      <w:r>
        <w:rPr>
          <w:color w:val="auto"/>
          <w:u w:val="none"/>
        </w:rPr>
        <w:instrText xml:space="preserve"> PAGEREF _Toc53598609 \h </w:instrText>
      </w:r>
      <w:r>
        <w:rPr>
          <w:color w:val="auto"/>
          <w:u w:val="none"/>
        </w:rPr>
        <w:fldChar w:fldCharType="separate"/>
      </w:r>
      <w:r>
        <w:rPr>
          <w:color w:val="auto"/>
          <w:u w:val="none"/>
        </w:rPr>
        <w:t>2</w:t>
      </w:r>
      <w:r>
        <w:rPr>
          <w:color w:val="auto"/>
          <w:u w:val="none"/>
        </w:rPr>
        <w:fldChar w:fldCharType="end"/>
      </w:r>
      <w:r>
        <w:rPr>
          <w:rStyle w:val="14"/>
          <w:color w:val="auto"/>
          <w:u w:val="none"/>
        </w:rPr>
        <w:fldChar w:fldCharType="end"/>
      </w:r>
    </w:p>
    <w:p>
      <w:pPr>
        <w:pStyle w:val="9"/>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"_Toc53598611"</w:instrText>
      </w:r>
      <w:r>
        <w:rPr>
          <w:rStyle w:val="14"/>
          <w:color w:val="auto"/>
          <w:u w:val="none"/>
        </w:rPr>
        <w:instrText xml:space="preserve"> </w:instrText>
      </w:r>
      <w:r>
        <w:rPr>
          <w:rStyle w:val="14"/>
          <w:color w:val="auto"/>
          <w:u w:val="none"/>
        </w:rPr>
        <w:fldChar w:fldCharType="separate"/>
      </w:r>
      <w:r>
        <w:rPr>
          <w:rStyle w:val="14"/>
          <w:rFonts w:ascii="黑体" w:hAnsi="黑体" w:cs="黑体"/>
          <w:color w:val="auto"/>
          <w:u w:val="none"/>
        </w:rPr>
        <w:t>2.</w:t>
      </w:r>
      <w:r>
        <w:rPr>
          <w:rStyle w:val="14"/>
          <w:rFonts w:hint="eastAsia" w:ascii="黑体" w:hAnsi="黑体" w:cs="黑体"/>
          <w:color w:val="auto"/>
          <w:u w:val="none"/>
        </w:rPr>
        <w:t>执行标准及其限值</w:t>
      </w:r>
      <w:r>
        <w:rPr>
          <w:color w:val="auto"/>
          <w:u w:val="none"/>
        </w:rPr>
        <w:tab/>
      </w:r>
      <w:r>
        <w:rPr>
          <w:rFonts w:hint="eastAsia"/>
          <w:color w:val="auto"/>
          <w:u w:val="none"/>
          <w:lang w:val="en-US" w:eastAsia="zh-CN"/>
        </w:rPr>
        <w:t>3</w:t>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"_Toc53598612"</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2.1</w:t>
      </w:r>
      <w:r>
        <w:rPr>
          <w:rStyle w:val="14"/>
          <w:rFonts w:hint="eastAsia" w:ascii="黑体" w:hAnsi="黑体" w:eastAsia="黑体" w:cs="黑体"/>
          <w:color w:val="auto"/>
          <w:u w:val="none"/>
        </w:rPr>
        <w:t>废水执行标准及其限值</w:t>
      </w:r>
      <w:r>
        <w:rPr>
          <w:color w:val="auto"/>
          <w:u w:val="none"/>
        </w:rPr>
        <w:tab/>
      </w:r>
      <w:r>
        <w:rPr>
          <w:rFonts w:hint="eastAsia"/>
          <w:color w:val="auto"/>
          <w:u w:val="none"/>
          <w:lang w:val="en-US" w:eastAsia="zh-CN"/>
        </w:rPr>
        <w:t>3</w:t>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"_Toc53598613"</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2.2</w:t>
      </w:r>
      <w:r>
        <w:rPr>
          <w:rStyle w:val="14"/>
          <w:rFonts w:hint="eastAsia" w:ascii="黑体" w:hAnsi="黑体" w:eastAsia="黑体" w:cs="黑体"/>
          <w:color w:val="auto"/>
          <w:u w:val="none"/>
        </w:rPr>
        <w:t>废气执行标准及其限值</w:t>
      </w:r>
      <w:r>
        <w:rPr>
          <w:color w:val="auto"/>
          <w:u w:val="none"/>
        </w:rPr>
        <w:tab/>
      </w:r>
      <w:r>
        <w:rPr>
          <w:rFonts w:hint="eastAsia"/>
          <w:color w:val="auto"/>
          <w:u w:val="none"/>
          <w:lang w:val="en-US" w:eastAsia="zh-CN"/>
        </w:rPr>
        <w:t>4</w:t>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"_Toc53598614"</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2.3</w:t>
      </w:r>
      <w:r>
        <w:rPr>
          <w:rStyle w:val="14"/>
          <w:rFonts w:hint="eastAsia" w:ascii="黑体" w:hAnsi="黑体" w:eastAsia="黑体" w:cs="黑体"/>
          <w:color w:val="auto"/>
          <w:u w:val="none"/>
        </w:rPr>
        <w:t>厂界噪声执行标准及其限值</w:t>
      </w:r>
      <w:r>
        <w:rPr>
          <w:color w:val="auto"/>
          <w:u w:val="none"/>
        </w:rPr>
        <w:tab/>
      </w:r>
      <w:r>
        <w:rPr>
          <w:rFonts w:hint="eastAsia"/>
          <w:color w:val="auto"/>
          <w:u w:val="none"/>
          <w:lang w:val="en-US" w:eastAsia="zh-CN"/>
        </w:rPr>
        <w:t>5</w:t>
      </w:r>
      <w:r>
        <w:rPr>
          <w:rStyle w:val="14"/>
          <w:color w:val="auto"/>
          <w:u w:val="none"/>
        </w:rPr>
        <w:fldChar w:fldCharType="end"/>
      </w:r>
    </w:p>
    <w:p>
      <w:pPr>
        <w:pStyle w:val="9"/>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"_Toc53598615"</w:instrText>
      </w:r>
      <w:r>
        <w:rPr>
          <w:rStyle w:val="14"/>
          <w:color w:val="auto"/>
          <w:u w:val="none"/>
        </w:rPr>
        <w:instrText xml:space="preserve"> </w:instrText>
      </w:r>
      <w:r>
        <w:rPr>
          <w:rStyle w:val="14"/>
          <w:color w:val="auto"/>
          <w:u w:val="none"/>
        </w:rPr>
        <w:fldChar w:fldCharType="separate"/>
      </w:r>
      <w:r>
        <w:rPr>
          <w:rStyle w:val="14"/>
          <w:rFonts w:ascii="黑体" w:hAnsi="黑体" w:cs="黑体"/>
          <w:color w:val="auto"/>
          <w:u w:val="none"/>
        </w:rPr>
        <w:t>3.</w:t>
      </w:r>
      <w:r>
        <w:rPr>
          <w:rStyle w:val="14"/>
          <w:rFonts w:hint="eastAsia" w:ascii="黑体" w:hAnsi="黑体" w:cs="黑体"/>
          <w:color w:val="auto"/>
          <w:u w:val="none"/>
        </w:rPr>
        <w:t>自行监测内容</w:t>
      </w:r>
      <w:r>
        <w:rPr>
          <w:color w:val="auto"/>
          <w:u w:val="none"/>
        </w:rPr>
        <w:tab/>
      </w:r>
      <w:r>
        <w:rPr>
          <w:rFonts w:hint="eastAsia"/>
          <w:color w:val="auto"/>
          <w:u w:val="none"/>
          <w:lang w:val="en-US" w:eastAsia="zh-CN"/>
        </w:rPr>
        <w:t>5</w:t>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"_Toc53598616"</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3.1</w:t>
      </w:r>
      <w:r>
        <w:rPr>
          <w:rStyle w:val="14"/>
          <w:rFonts w:hint="eastAsia" w:ascii="黑体" w:hAnsi="黑体" w:eastAsia="黑体" w:cs="黑体"/>
          <w:color w:val="auto"/>
          <w:u w:val="none"/>
        </w:rPr>
        <w:t>水污染物排放监测</w:t>
      </w:r>
      <w:r>
        <w:rPr>
          <w:color w:val="auto"/>
          <w:u w:val="none"/>
        </w:rPr>
        <w:tab/>
      </w:r>
      <w:r>
        <w:rPr>
          <w:rFonts w:hint="eastAsia"/>
          <w:color w:val="auto"/>
          <w:u w:val="none"/>
          <w:lang w:val="en-US" w:eastAsia="zh-CN"/>
        </w:rPr>
        <w:t>5</w:t>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"_Toc53598617"</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3.2</w:t>
      </w:r>
      <w:r>
        <w:rPr>
          <w:rStyle w:val="14"/>
          <w:rFonts w:hint="eastAsia" w:ascii="黑体" w:hAnsi="黑体" w:eastAsia="黑体" w:cs="黑体"/>
          <w:color w:val="auto"/>
          <w:u w:val="none"/>
        </w:rPr>
        <w:t>无组织废气排放监测</w:t>
      </w:r>
      <w:r>
        <w:rPr>
          <w:color w:val="auto"/>
          <w:u w:val="none"/>
        </w:rPr>
        <w:tab/>
      </w:r>
      <w:r>
        <w:rPr>
          <w:rFonts w:hint="eastAsia"/>
          <w:color w:val="auto"/>
          <w:u w:val="none"/>
          <w:lang w:val="en-US" w:eastAsia="zh-CN"/>
        </w:rPr>
        <w:t>5</w:t>
      </w:r>
      <w:r>
        <w:rPr>
          <w:rStyle w:val="14"/>
          <w:color w:val="auto"/>
          <w:u w:val="none"/>
        </w:rPr>
        <w:fldChar w:fldCharType="end"/>
      </w:r>
    </w:p>
    <w:p>
      <w:pPr>
        <w:pStyle w:val="6"/>
        <w:tabs>
          <w:tab w:val="right" w:leader="dot" w:pos="8296"/>
        </w:tabs>
        <w:rPr>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"_Toc53598618"</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3.3</w:t>
      </w:r>
      <w:r>
        <w:rPr>
          <w:rStyle w:val="14"/>
          <w:rFonts w:hint="eastAsia" w:ascii="黑体" w:hAnsi="黑体" w:eastAsia="黑体" w:cs="黑体"/>
          <w:color w:val="auto"/>
          <w:u w:val="none"/>
        </w:rPr>
        <w:t>厂界噪声排放监测</w:t>
      </w:r>
      <w:r>
        <w:rPr>
          <w:color w:val="auto"/>
          <w:u w:val="none"/>
        </w:rPr>
        <w:tab/>
      </w:r>
      <w:r>
        <w:rPr>
          <w:rFonts w:hint="eastAsia"/>
          <w:color w:val="auto"/>
          <w:u w:val="none"/>
          <w:lang w:val="en-US" w:eastAsia="zh-CN"/>
        </w:rPr>
        <w:t>5</w:t>
      </w:r>
      <w:r>
        <w:rPr>
          <w:rStyle w:val="14"/>
          <w:color w:val="auto"/>
          <w:u w:val="none"/>
        </w:rPr>
        <w:fldChar w:fldCharType="end"/>
      </w:r>
    </w:p>
    <w:p>
      <w:pPr>
        <w:pStyle w:val="9"/>
        <w:tabs>
          <w:tab w:val="right" w:leader="dot" w:pos="8296"/>
        </w:tabs>
        <w:rPr>
          <w:rFonts w:hint="default" w:eastAsia="等线"/>
          <w:color w:val="auto"/>
          <w:u w:val="none"/>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"_Toc53598619"</w:instrText>
      </w:r>
      <w:r>
        <w:rPr>
          <w:rStyle w:val="14"/>
          <w:color w:val="auto"/>
          <w:u w:val="none"/>
        </w:rPr>
        <w:instrText xml:space="preserve"> </w:instrText>
      </w:r>
      <w:r>
        <w:rPr>
          <w:rStyle w:val="14"/>
          <w:color w:val="auto"/>
          <w:u w:val="none"/>
        </w:rPr>
        <w:fldChar w:fldCharType="separate"/>
      </w:r>
      <w:r>
        <w:rPr>
          <w:rStyle w:val="14"/>
          <w:rFonts w:ascii="黑体" w:hAnsi="黑体" w:cs="黑体"/>
          <w:color w:val="auto"/>
          <w:u w:val="none"/>
        </w:rPr>
        <w:t>4.</w:t>
      </w:r>
      <w:r>
        <w:rPr>
          <w:rStyle w:val="14"/>
          <w:rFonts w:hint="eastAsia" w:ascii="黑体" w:hAnsi="黑体" w:cs="黑体"/>
          <w:color w:val="auto"/>
          <w:u w:val="none"/>
          <w:lang w:val="en-US" w:eastAsia="zh-CN"/>
        </w:rPr>
        <w:t>全年自行监测执行情况</w:t>
      </w:r>
      <w:r>
        <w:rPr>
          <w:color w:val="auto"/>
          <w:u w:val="none"/>
        </w:rPr>
        <w:tab/>
      </w:r>
      <w:r>
        <w:rPr>
          <w:rFonts w:hint="eastAsia"/>
          <w:color w:val="auto"/>
          <w:u w:val="none"/>
          <w:lang w:val="en-US" w:eastAsia="zh-CN"/>
        </w:rPr>
        <w:t>2</w:t>
      </w:r>
      <w:r>
        <w:rPr>
          <w:rStyle w:val="14"/>
          <w:color w:val="auto"/>
          <w:u w:val="none"/>
        </w:rPr>
        <w:fldChar w:fldCharType="end"/>
      </w:r>
      <w:r>
        <w:rPr>
          <w:rStyle w:val="14"/>
          <w:rFonts w:hint="eastAsia"/>
          <w:color w:val="auto"/>
          <w:u w:val="none"/>
          <w:lang w:val="en-US" w:eastAsia="zh-CN"/>
        </w:rPr>
        <w:t>0</w:t>
      </w:r>
    </w:p>
    <w:p>
      <w:pPr>
        <w:pStyle w:val="6"/>
        <w:tabs>
          <w:tab w:val="right" w:leader="dot" w:pos="8296"/>
        </w:tabs>
        <w:rPr>
          <w:rFonts w:hint="eastAsia" w:eastAsia="等线"/>
          <w:color w:val="auto"/>
          <w:u w:val="none"/>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"_Toc53598620"</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4.1</w:t>
      </w:r>
      <w:r>
        <w:rPr>
          <w:rStyle w:val="14"/>
          <w:rFonts w:hint="eastAsia" w:ascii="黑体" w:hAnsi="黑体" w:eastAsia="黑体" w:cs="黑体"/>
          <w:color w:val="auto"/>
          <w:u w:val="none"/>
          <w:lang w:val="en-US" w:eastAsia="zh-CN"/>
        </w:rPr>
        <w:t>自行监测方案变更情况</w:t>
      </w:r>
      <w:r>
        <w:rPr>
          <w:color w:val="auto"/>
          <w:u w:val="none"/>
        </w:rPr>
        <w:tab/>
      </w:r>
      <w:r>
        <w:rPr>
          <w:rFonts w:hint="eastAsia"/>
          <w:color w:val="auto"/>
          <w:u w:val="none"/>
          <w:lang w:val="en-US" w:eastAsia="zh-CN"/>
        </w:rPr>
        <w:t>2</w:t>
      </w:r>
      <w:r>
        <w:rPr>
          <w:rStyle w:val="14"/>
          <w:color w:val="auto"/>
          <w:u w:val="none"/>
        </w:rPr>
        <w:fldChar w:fldCharType="end"/>
      </w:r>
      <w:r>
        <w:rPr>
          <w:rStyle w:val="14"/>
          <w:rFonts w:hint="eastAsia"/>
          <w:color w:val="auto"/>
          <w:u w:val="none"/>
          <w:lang w:val="en-US" w:eastAsia="zh-CN"/>
        </w:rPr>
        <w:t>0</w:t>
      </w:r>
    </w:p>
    <w:p>
      <w:pPr>
        <w:pStyle w:val="6"/>
        <w:tabs>
          <w:tab w:val="right" w:leader="dot" w:pos="8296"/>
        </w:tabs>
        <w:rPr>
          <w:rFonts w:hint="eastAsia" w:eastAsia="等线"/>
          <w:color w:val="auto"/>
          <w:u w:val="none"/>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"_Toc53598621"</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4.2</w:t>
      </w:r>
      <w:r>
        <w:rPr>
          <w:rStyle w:val="14"/>
          <w:rFonts w:hint="eastAsia" w:ascii="黑体" w:hAnsi="黑体" w:eastAsia="黑体" w:cs="黑体"/>
          <w:color w:val="auto"/>
          <w:u w:val="none"/>
          <w:lang w:val="en-US" w:eastAsia="zh-CN"/>
        </w:rPr>
        <w:t>全年自行监测执行情况</w:t>
      </w:r>
      <w:r>
        <w:rPr>
          <w:color w:val="auto"/>
          <w:u w:val="none"/>
        </w:rPr>
        <w:tab/>
      </w:r>
      <w:r>
        <w:rPr>
          <w:rFonts w:hint="eastAsia"/>
          <w:color w:val="auto"/>
          <w:u w:val="none"/>
          <w:lang w:val="en-US" w:eastAsia="zh-CN"/>
        </w:rPr>
        <w:t>2</w:t>
      </w:r>
      <w:r>
        <w:rPr>
          <w:rStyle w:val="14"/>
          <w:color w:val="auto"/>
          <w:u w:val="none"/>
        </w:rPr>
        <w:fldChar w:fldCharType="end"/>
      </w:r>
      <w:r>
        <w:rPr>
          <w:rStyle w:val="14"/>
          <w:rFonts w:hint="eastAsia"/>
          <w:color w:val="auto"/>
          <w:u w:val="none"/>
          <w:lang w:val="en-US" w:eastAsia="zh-CN"/>
        </w:rPr>
        <w:t>0</w:t>
      </w:r>
    </w:p>
    <w:p>
      <w:pPr>
        <w:pStyle w:val="6"/>
        <w:tabs>
          <w:tab w:val="right" w:leader="dot" w:pos="8296"/>
        </w:tabs>
        <w:ind w:firstLine="420" w:firstLineChars="200"/>
        <w:rPr>
          <w:rStyle w:val="14"/>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"_Toc53598622"</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4.</w:t>
      </w:r>
      <w:r>
        <w:rPr>
          <w:rStyle w:val="14"/>
          <w:rFonts w:hint="eastAsia" w:ascii="黑体" w:hAnsi="黑体" w:eastAsia="黑体" w:cs="黑体"/>
          <w:color w:val="auto"/>
          <w:u w:val="none"/>
          <w:lang w:val="en-US" w:eastAsia="zh-CN"/>
        </w:rPr>
        <w:t>2.1废水自动监测部分</w:t>
      </w:r>
      <w:r>
        <w:rPr>
          <w:color w:val="auto"/>
          <w:u w:val="none"/>
        </w:rPr>
        <w:tab/>
      </w:r>
      <w:r>
        <w:rPr>
          <w:color w:val="auto"/>
          <w:u w:val="none"/>
        </w:rPr>
        <w:fldChar w:fldCharType="begin"/>
      </w:r>
      <w:r>
        <w:rPr>
          <w:color w:val="auto"/>
          <w:u w:val="none"/>
        </w:rPr>
        <w:instrText xml:space="preserve"> PAGEREF _Toc53598622 \h </w:instrText>
      </w:r>
      <w:r>
        <w:rPr>
          <w:color w:val="auto"/>
          <w:u w:val="none"/>
        </w:rPr>
        <w:fldChar w:fldCharType="separate"/>
      </w:r>
      <w:r>
        <w:rPr>
          <w:color w:val="auto"/>
          <w:u w:val="none"/>
        </w:rPr>
        <w:t>20</w:t>
      </w:r>
      <w:r>
        <w:rPr>
          <w:color w:val="auto"/>
          <w:u w:val="none"/>
        </w:rPr>
        <w:fldChar w:fldCharType="end"/>
      </w:r>
      <w:r>
        <w:rPr>
          <w:rStyle w:val="14"/>
          <w:color w:val="auto"/>
          <w:u w:val="none"/>
        </w:rPr>
        <w:fldChar w:fldCharType="end"/>
      </w:r>
    </w:p>
    <w:p>
      <w:pPr>
        <w:pStyle w:val="6"/>
        <w:tabs>
          <w:tab w:val="right" w:leader="dot" w:pos="8296"/>
        </w:tabs>
        <w:ind w:firstLine="420" w:firstLineChars="200"/>
        <w:rPr>
          <w:rStyle w:val="14"/>
          <w:rFonts w:hint="eastAsia" w:eastAsia="等线"/>
          <w:color w:val="auto"/>
          <w:u w:val="none"/>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"_Toc53598622"</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4.</w:t>
      </w:r>
      <w:r>
        <w:rPr>
          <w:rStyle w:val="14"/>
          <w:rFonts w:hint="eastAsia" w:ascii="黑体" w:hAnsi="黑体" w:eastAsia="黑体" w:cs="黑体"/>
          <w:color w:val="auto"/>
          <w:u w:val="none"/>
          <w:lang w:val="en-US" w:eastAsia="zh-CN"/>
        </w:rPr>
        <w:t>2.2废水手工检测部分</w:t>
      </w:r>
      <w:r>
        <w:rPr>
          <w:color w:val="auto"/>
          <w:u w:val="none"/>
        </w:rPr>
        <w:tab/>
      </w:r>
      <w:r>
        <w:rPr>
          <w:rFonts w:hint="eastAsia"/>
          <w:color w:val="auto"/>
          <w:u w:val="none"/>
          <w:lang w:val="en-US" w:eastAsia="zh-CN"/>
        </w:rPr>
        <w:t>2</w:t>
      </w:r>
      <w:r>
        <w:rPr>
          <w:rStyle w:val="14"/>
          <w:color w:val="auto"/>
          <w:u w:val="none"/>
        </w:rPr>
        <w:fldChar w:fldCharType="end"/>
      </w:r>
      <w:r>
        <w:rPr>
          <w:rStyle w:val="14"/>
          <w:rFonts w:hint="eastAsia"/>
          <w:color w:val="auto"/>
          <w:u w:val="none"/>
          <w:lang w:val="en-US" w:eastAsia="zh-CN"/>
        </w:rPr>
        <w:t>3</w:t>
      </w:r>
    </w:p>
    <w:p>
      <w:pPr>
        <w:pStyle w:val="6"/>
        <w:tabs>
          <w:tab w:val="right" w:leader="dot" w:pos="8296"/>
        </w:tabs>
        <w:ind w:firstLine="420" w:firstLineChars="200"/>
        <w:rPr>
          <w:rFonts w:hint="eastAsia" w:eastAsia="等线"/>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"_Toc53598622"</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4.</w:t>
      </w:r>
      <w:r>
        <w:rPr>
          <w:rStyle w:val="14"/>
          <w:rFonts w:hint="eastAsia" w:ascii="黑体" w:hAnsi="黑体" w:eastAsia="黑体" w:cs="黑体"/>
          <w:color w:val="auto"/>
          <w:u w:val="none"/>
          <w:lang w:val="en-US" w:eastAsia="zh-CN"/>
        </w:rPr>
        <w:t>2.3废气手工检测部分</w:t>
      </w:r>
      <w:r>
        <w:rPr>
          <w:color w:val="auto"/>
          <w:u w:val="none"/>
        </w:rPr>
        <w:tab/>
      </w:r>
      <w:r>
        <w:rPr>
          <w:rFonts w:hint="eastAsia"/>
          <w:color w:val="auto"/>
          <w:u w:val="none"/>
          <w:lang w:val="en-US" w:eastAsia="zh-CN"/>
        </w:rPr>
        <w:t>3</w:t>
      </w:r>
      <w:r>
        <w:rPr>
          <w:rStyle w:val="14"/>
          <w:color w:val="auto"/>
          <w:u w:val="none"/>
        </w:rPr>
        <w:fldChar w:fldCharType="end"/>
      </w:r>
      <w:r>
        <w:rPr>
          <w:rStyle w:val="14"/>
          <w:rFonts w:hint="eastAsia"/>
          <w:color w:val="auto"/>
          <w:u w:val="none"/>
          <w:lang w:val="en-US" w:eastAsia="zh-CN"/>
        </w:rPr>
        <w:t>1</w:t>
      </w:r>
    </w:p>
    <w:p>
      <w:pPr>
        <w:pStyle w:val="9"/>
        <w:tabs>
          <w:tab w:val="left" w:pos="627"/>
          <w:tab w:val="right" w:leader="dot" w:pos="8296"/>
        </w:tabs>
        <w:rPr>
          <w:rStyle w:val="14"/>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"_Toc53598623"</w:instrText>
      </w:r>
      <w:r>
        <w:rPr>
          <w:rStyle w:val="14"/>
          <w:color w:val="auto"/>
          <w:u w:val="none"/>
        </w:rPr>
        <w:instrText xml:space="preserve"> </w:instrText>
      </w:r>
      <w:r>
        <w:rPr>
          <w:rStyle w:val="14"/>
          <w:color w:val="auto"/>
          <w:u w:val="none"/>
        </w:rPr>
        <w:fldChar w:fldCharType="separate"/>
      </w:r>
      <w:r>
        <w:rPr>
          <w:rStyle w:val="14"/>
          <w:color w:val="auto"/>
          <w:u w:val="none"/>
        </w:rPr>
        <w:t>5.</w:t>
      </w:r>
      <w:r>
        <w:rPr>
          <w:color w:val="auto"/>
          <w:u w:val="none"/>
        </w:rPr>
        <w:tab/>
      </w:r>
      <w:r>
        <w:rPr>
          <w:rStyle w:val="14"/>
          <w:rFonts w:hint="eastAsia" w:ascii="黑体" w:hAnsi="黑体" w:cs="黑体"/>
          <w:color w:val="auto"/>
          <w:u w:val="none"/>
          <w:lang w:val="en-US" w:eastAsia="zh-CN"/>
        </w:rPr>
        <w:t>全年主要污染物排放情况</w:t>
      </w:r>
      <w:r>
        <w:rPr>
          <w:color w:val="auto"/>
          <w:u w:val="none"/>
        </w:rPr>
        <w:tab/>
      </w:r>
      <w:r>
        <w:rPr>
          <w:color w:val="auto"/>
          <w:u w:val="none"/>
        </w:rPr>
        <w:fldChar w:fldCharType="begin"/>
      </w:r>
      <w:r>
        <w:rPr>
          <w:color w:val="auto"/>
          <w:u w:val="none"/>
        </w:rPr>
        <w:instrText xml:space="preserve"> PAGEREF _Toc53598623 \h </w:instrText>
      </w:r>
      <w:r>
        <w:rPr>
          <w:color w:val="auto"/>
          <w:u w:val="none"/>
        </w:rPr>
        <w:fldChar w:fldCharType="separate"/>
      </w:r>
      <w:r>
        <w:rPr>
          <w:rFonts w:hint="eastAsia"/>
          <w:color w:val="auto"/>
          <w:u w:val="none"/>
          <w:lang w:val="en-US" w:eastAsia="zh-CN"/>
        </w:rPr>
        <w:t>33</w:t>
      </w:r>
      <w:r>
        <w:rPr>
          <w:color w:val="auto"/>
          <w:u w:val="none"/>
        </w:rPr>
        <w:fldChar w:fldCharType="end"/>
      </w:r>
      <w:r>
        <w:rPr>
          <w:rStyle w:val="14"/>
          <w:color w:val="auto"/>
          <w:u w:val="none"/>
        </w:rPr>
        <w:fldChar w:fldCharType="end"/>
      </w:r>
    </w:p>
    <w:p>
      <w:pPr>
        <w:pStyle w:val="6"/>
        <w:tabs>
          <w:tab w:val="right" w:leader="dot" w:pos="8296"/>
        </w:tabs>
        <w:rPr>
          <w:rStyle w:val="14"/>
          <w:color w:val="auto"/>
          <w:u w:val="none"/>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"_Toc53598622"</w:instrText>
      </w:r>
      <w:r>
        <w:rPr>
          <w:rStyle w:val="14"/>
          <w:color w:val="auto"/>
          <w:u w:val="none"/>
        </w:rPr>
        <w:instrText xml:space="preserve"> </w:instrText>
      </w:r>
      <w:r>
        <w:rPr>
          <w:rStyle w:val="14"/>
          <w:color w:val="auto"/>
          <w:u w:val="none"/>
        </w:rPr>
        <w:fldChar w:fldCharType="separate"/>
      </w:r>
      <w:r>
        <w:rPr>
          <w:rStyle w:val="14"/>
          <w:rFonts w:hint="eastAsia" w:ascii="黑体" w:hAnsi="黑体" w:eastAsia="黑体" w:cs="黑体"/>
          <w:color w:val="auto"/>
          <w:u w:val="none"/>
          <w:lang w:val="en-US" w:eastAsia="zh-CN"/>
        </w:rPr>
        <w:t>5</w:t>
      </w:r>
      <w:r>
        <w:rPr>
          <w:rStyle w:val="14"/>
          <w:rFonts w:ascii="黑体" w:hAnsi="黑体" w:eastAsia="黑体" w:cs="黑体"/>
          <w:color w:val="auto"/>
          <w:u w:val="none"/>
        </w:rPr>
        <w:t>.</w:t>
      </w:r>
      <w:r>
        <w:rPr>
          <w:rStyle w:val="14"/>
          <w:rFonts w:hint="eastAsia" w:ascii="黑体" w:hAnsi="黑体" w:eastAsia="黑体" w:cs="黑体"/>
          <w:color w:val="auto"/>
          <w:u w:val="none"/>
          <w:lang w:val="en-US" w:eastAsia="zh-CN"/>
        </w:rPr>
        <w:t>1废气部分排放总量计算</w:t>
      </w:r>
      <w:r>
        <w:rPr>
          <w:color w:val="auto"/>
          <w:u w:val="none"/>
        </w:rPr>
        <w:tab/>
      </w:r>
      <w:r>
        <w:rPr>
          <w:rFonts w:hint="eastAsia"/>
          <w:color w:val="auto"/>
          <w:u w:val="none"/>
          <w:lang w:val="en-US" w:eastAsia="zh-CN"/>
        </w:rPr>
        <w:t>33</w:t>
      </w:r>
      <w:r>
        <w:rPr>
          <w:rStyle w:val="14"/>
          <w:color w:val="auto"/>
          <w:u w:val="none"/>
        </w:rPr>
        <w:fldChar w:fldCharType="end"/>
      </w:r>
    </w:p>
    <w:p>
      <w:pPr>
        <w:pStyle w:val="6"/>
        <w:tabs>
          <w:tab w:val="right" w:leader="dot" w:pos="8296"/>
        </w:tabs>
        <w:rPr>
          <w:rFonts w:hint="eastAsia" w:eastAsia="等线"/>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"_Toc53598622"</w:instrText>
      </w:r>
      <w:r>
        <w:rPr>
          <w:rStyle w:val="14"/>
          <w:color w:val="auto"/>
          <w:u w:val="none"/>
        </w:rPr>
        <w:instrText xml:space="preserve"> </w:instrText>
      </w:r>
      <w:r>
        <w:rPr>
          <w:rStyle w:val="14"/>
          <w:color w:val="auto"/>
          <w:u w:val="none"/>
        </w:rPr>
        <w:fldChar w:fldCharType="separate"/>
      </w:r>
      <w:r>
        <w:rPr>
          <w:rStyle w:val="14"/>
          <w:rFonts w:hint="eastAsia" w:ascii="黑体" w:hAnsi="黑体" w:eastAsia="黑体" w:cs="黑体"/>
          <w:color w:val="auto"/>
          <w:u w:val="none"/>
          <w:lang w:val="en-US" w:eastAsia="zh-CN"/>
        </w:rPr>
        <w:t>5</w:t>
      </w:r>
      <w:r>
        <w:rPr>
          <w:rStyle w:val="14"/>
          <w:rFonts w:ascii="黑体" w:hAnsi="黑体" w:eastAsia="黑体" w:cs="黑体"/>
          <w:color w:val="auto"/>
          <w:u w:val="none"/>
        </w:rPr>
        <w:t>.</w:t>
      </w:r>
      <w:r>
        <w:rPr>
          <w:rStyle w:val="14"/>
          <w:rFonts w:hint="eastAsia" w:ascii="黑体" w:hAnsi="黑体" w:eastAsia="黑体" w:cs="黑体"/>
          <w:color w:val="auto"/>
          <w:u w:val="none"/>
          <w:lang w:val="en-US" w:eastAsia="zh-CN"/>
        </w:rPr>
        <w:t>2废水部分排放总量计算</w:t>
      </w:r>
      <w:r>
        <w:rPr>
          <w:color w:val="auto"/>
          <w:u w:val="none"/>
        </w:rPr>
        <w:tab/>
      </w:r>
      <w:r>
        <w:rPr>
          <w:rFonts w:hint="eastAsia"/>
          <w:color w:val="auto"/>
          <w:u w:val="none"/>
          <w:lang w:val="en-US" w:eastAsia="zh-CN"/>
        </w:rPr>
        <w:t>3</w:t>
      </w:r>
      <w:r>
        <w:rPr>
          <w:rStyle w:val="14"/>
          <w:color w:val="auto"/>
          <w:u w:val="none"/>
        </w:rPr>
        <w:fldChar w:fldCharType="end"/>
      </w:r>
      <w:r>
        <w:rPr>
          <w:rStyle w:val="14"/>
          <w:rFonts w:hint="eastAsia"/>
          <w:color w:val="auto"/>
          <w:u w:val="none"/>
          <w:lang w:val="en-US" w:eastAsia="zh-CN"/>
        </w:rPr>
        <w:t>3</w:t>
      </w:r>
    </w:p>
    <w:p>
      <w:pPr>
        <w:pStyle w:val="9"/>
        <w:tabs>
          <w:tab w:val="right" w:leader="dot" w:pos="8296"/>
        </w:tabs>
        <w:rPr>
          <w:rFonts w:hint="eastAsia" w:eastAsia="等线"/>
          <w:color w:val="auto"/>
          <w:u w:val="none"/>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"_Toc53598625"</w:instrText>
      </w:r>
      <w:r>
        <w:rPr>
          <w:rStyle w:val="14"/>
          <w:color w:val="auto"/>
          <w:u w:val="none"/>
        </w:rPr>
        <w:instrText xml:space="preserve"> </w:instrText>
      </w:r>
      <w:r>
        <w:rPr>
          <w:rStyle w:val="14"/>
          <w:color w:val="auto"/>
          <w:u w:val="none"/>
        </w:rPr>
        <w:fldChar w:fldCharType="separate"/>
      </w:r>
      <w:r>
        <w:rPr>
          <w:rStyle w:val="14"/>
          <w:rFonts w:ascii="黑体" w:hAnsi="黑体" w:cs="黑体"/>
          <w:color w:val="auto"/>
          <w:u w:val="none"/>
        </w:rPr>
        <w:t>6.</w:t>
      </w:r>
      <w:r>
        <w:rPr>
          <w:rStyle w:val="14"/>
          <w:rFonts w:hint="eastAsia" w:ascii="黑体" w:hAnsi="黑体" w:cs="黑体"/>
          <w:color w:val="auto"/>
          <w:u w:val="none"/>
          <w:lang w:val="en-US" w:eastAsia="zh-CN"/>
        </w:rPr>
        <w:t>一般固体废物及危险废物生产处置情况</w:t>
      </w:r>
      <w:r>
        <w:rPr>
          <w:color w:val="auto"/>
          <w:u w:val="none"/>
        </w:rPr>
        <w:tab/>
      </w:r>
      <w:r>
        <w:rPr>
          <w:rFonts w:hint="eastAsia"/>
          <w:color w:val="auto"/>
          <w:u w:val="none"/>
          <w:lang w:val="en-US" w:eastAsia="zh-CN"/>
        </w:rPr>
        <w:t>5</w:t>
      </w:r>
      <w:r>
        <w:rPr>
          <w:rStyle w:val="14"/>
          <w:color w:val="auto"/>
          <w:u w:val="none"/>
        </w:rPr>
        <w:fldChar w:fldCharType="end"/>
      </w:r>
      <w:r>
        <w:rPr>
          <w:rStyle w:val="14"/>
          <w:rFonts w:hint="eastAsia"/>
          <w:color w:val="auto"/>
          <w:u w:val="none"/>
          <w:lang w:val="en-US" w:eastAsia="zh-CN"/>
        </w:rPr>
        <w:t>8</w:t>
      </w:r>
    </w:p>
    <w:p>
      <w:pPr>
        <w:pStyle w:val="6"/>
        <w:tabs>
          <w:tab w:val="right" w:leader="dot" w:pos="8296"/>
        </w:tabs>
        <w:rPr>
          <w:rFonts w:hint="eastAsia"/>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"_Toc53598626"</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 xml:space="preserve">6.1 </w:t>
      </w:r>
      <w:r>
        <w:rPr>
          <w:rStyle w:val="14"/>
          <w:rFonts w:hint="eastAsia" w:ascii="黑体" w:hAnsi="黑体" w:eastAsia="黑体" w:cs="黑体"/>
          <w:color w:val="auto"/>
          <w:u w:val="none"/>
          <w:lang w:val="en-US" w:eastAsia="zh-CN"/>
        </w:rPr>
        <w:t>固体废物生产处置</w:t>
      </w:r>
      <w:r>
        <w:rPr>
          <w:color w:val="auto"/>
          <w:u w:val="none"/>
        </w:rPr>
        <w:tab/>
      </w:r>
      <w:r>
        <w:rPr>
          <w:rFonts w:hint="eastAsia"/>
          <w:color w:val="auto"/>
          <w:u w:val="none"/>
          <w:lang w:val="en-US" w:eastAsia="zh-CN"/>
        </w:rPr>
        <w:t>5</w:t>
      </w:r>
      <w:r>
        <w:rPr>
          <w:rStyle w:val="14"/>
          <w:color w:val="auto"/>
          <w:u w:val="none"/>
        </w:rPr>
        <w:fldChar w:fldCharType="end"/>
      </w:r>
      <w:r>
        <w:rPr>
          <w:rStyle w:val="14"/>
          <w:rFonts w:hint="eastAsia"/>
          <w:color w:val="auto"/>
          <w:u w:val="none"/>
          <w:lang w:val="en-US" w:eastAsia="zh-CN"/>
        </w:rPr>
        <w:t>8</w:t>
      </w:r>
    </w:p>
    <w:p>
      <w:pPr>
        <w:pStyle w:val="6"/>
        <w:tabs>
          <w:tab w:val="right" w:leader="dot" w:pos="8296"/>
        </w:tabs>
        <w:rPr>
          <w:rStyle w:val="14"/>
          <w:rFonts w:hint="eastAsia"/>
          <w:color w:val="auto"/>
          <w:u w:val="none"/>
          <w:lang w:val="en-US" w:eastAsia="zh-CN"/>
        </w:r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"_Toc53598626"</w:instrText>
      </w:r>
      <w:r>
        <w:rPr>
          <w:rStyle w:val="14"/>
          <w:color w:val="auto"/>
          <w:u w:val="none"/>
        </w:rPr>
        <w:instrText xml:space="preserve"> </w:instrText>
      </w:r>
      <w:r>
        <w:rPr>
          <w:rStyle w:val="14"/>
          <w:color w:val="auto"/>
          <w:u w:val="none"/>
        </w:rPr>
        <w:fldChar w:fldCharType="separate"/>
      </w:r>
      <w:r>
        <w:rPr>
          <w:rStyle w:val="14"/>
          <w:rFonts w:ascii="黑体" w:hAnsi="黑体" w:eastAsia="黑体" w:cs="黑体"/>
          <w:color w:val="auto"/>
          <w:u w:val="none"/>
        </w:rPr>
        <w:t xml:space="preserve">6.1 </w:t>
      </w:r>
      <w:r>
        <w:rPr>
          <w:rStyle w:val="14"/>
          <w:rFonts w:hint="eastAsia" w:ascii="黑体" w:hAnsi="黑体" w:eastAsia="黑体" w:cs="黑体"/>
          <w:color w:val="auto"/>
          <w:u w:val="none"/>
          <w:lang w:val="en-US" w:eastAsia="zh-CN"/>
        </w:rPr>
        <w:t>危废废物生产处置</w:t>
      </w:r>
      <w:r>
        <w:rPr>
          <w:color w:val="auto"/>
          <w:u w:val="none"/>
        </w:rPr>
        <w:tab/>
      </w:r>
      <w:r>
        <w:rPr>
          <w:rFonts w:hint="eastAsia"/>
          <w:color w:val="auto"/>
          <w:u w:val="none"/>
          <w:lang w:val="en-US" w:eastAsia="zh-CN"/>
        </w:rPr>
        <w:t>5</w:t>
      </w:r>
      <w:r>
        <w:rPr>
          <w:rStyle w:val="14"/>
          <w:color w:val="auto"/>
          <w:u w:val="none"/>
        </w:rPr>
        <w:fldChar w:fldCharType="end"/>
      </w:r>
      <w:r>
        <w:rPr>
          <w:rStyle w:val="14"/>
          <w:rFonts w:hint="eastAsia"/>
          <w:color w:val="auto"/>
          <w:u w:val="none"/>
          <w:lang w:val="en-US" w:eastAsia="zh-CN"/>
        </w:rPr>
        <w:t>8</w:t>
      </w:r>
    </w:p>
    <w:p>
      <w:pPr>
        <w:pStyle w:val="9"/>
        <w:tabs>
          <w:tab w:val="right" w:leader="dot" w:pos="8296"/>
        </w:tabs>
        <w:rPr>
          <w:rFonts w:hint="default"/>
          <w:lang w:val="en-US" w:eastAsia="zh-CN"/>
        </w:rPr>
        <w:sectPr>
          <w:footerReference r:id="rId5" w:type="first"/>
          <w:footerReference r:id="rId3" w:type="default"/>
          <w:footerReference r:id="rId4" w:type="even"/>
          <w:pgSz w:w="11906" w:h="16838"/>
          <w:pgMar w:top="1440" w:right="1800" w:bottom="1440" w:left="1800" w:header="851" w:footer="992" w:gutter="0"/>
          <w:cols w:space="720" w:num="1"/>
          <w:titlePg/>
          <w:docGrid w:type="lines" w:linePitch="312" w:charSpace="0"/>
        </w:sectPr>
      </w:pPr>
      <w:r>
        <w:rPr>
          <w:rStyle w:val="14"/>
          <w:color w:val="auto"/>
          <w:u w:val="none"/>
        </w:rPr>
        <w:fldChar w:fldCharType="begin"/>
      </w:r>
      <w:r>
        <w:rPr>
          <w:rStyle w:val="14"/>
          <w:color w:val="auto"/>
          <w:u w:val="none"/>
        </w:rPr>
        <w:instrText xml:space="preserve"> </w:instrText>
      </w:r>
      <w:r>
        <w:rPr>
          <w:color w:val="auto"/>
          <w:u w:val="none"/>
        </w:rPr>
        <w:instrText xml:space="preserve">HYPERLINK \l "_Toc53598625"</w:instrText>
      </w:r>
      <w:r>
        <w:rPr>
          <w:rStyle w:val="14"/>
          <w:color w:val="auto"/>
          <w:u w:val="none"/>
        </w:rPr>
        <w:instrText xml:space="preserve"> </w:instrText>
      </w:r>
      <w:r>
        <w:rPr>
          <w:rStyle w:val="14"/>
          <w:color w:val="auto"/>
          <w:u w:val="none"/>
        </w:rPr>
        <w:fldChar w:fldCharType="separate"/>
      </w:r>
      <w:r>
        <w:rPr>
          <w:rStyle w:val="14"/>
          <w:rFonts w:hint="eastAsia"/>
          <w:color w:val="auto"/>
          <w:u w:val="none"/>
          <w:lang w:val="en-US" w:eastAsia="zh-CN"/>
        </w:rPr>
        <w:t>7</w:t>
      </w:r>
      <w:r>
        <w:rPr>
          <w:rStyle w:val="14"/>
          <w:rFonts w:ascii="黑体" w:hAnsi="黑体" w:cs="黑体"/>
          <w:color w:val="auto"/>
          <w:u w:val="none"/>
        </w:rPr>
        <w:t>.</w:t>
      </w:r>
      <w:r>
        <w:rPr>
          <w:rStyle w:val="14"/>
          <w:rFonts w:hint="eastAsia" w:ascii="黑体" w:hAnsi="黑体" w:cs="黑体"/>
          <w:color w:val="auto"/>
          <w:u w:val="none"/>
          <w:lang w:val="en-US" w:eastAsia="zh-CN"/>
        </w:rPr>
        <w:t>结论</w:t>
      </w:r>
      <w:r>
        <w:rPr>
          <w:color w:val="auto"/>
          <w:u w:val="none"/>
        </w:rPr>
        <w:tab/>
      </w:r>
      <w:r>
        <w:rPr>
          <w:rStyle w:val="14"/>
          <w:color w:val="auto"/>
          <w:u w:val="none"/>
        </w:rPr>
        <w:fldChar w:fldCharType="end"/>
      </w:r>
      <w:r>
        <w:rPr>
          <w:rStyle w:val="14"/>
          <w:rFonts w:hint="eastAsia"/>
          <w:color w:val="auto"/>
          <w:u w:val="none"/>
          <w:lang w:val="en-US" w:eastAsia="zh-CN"/>
        </w:rPr>
        <w:t>58</w:t>
      </w:r>
    </w:p>
    <w:p>
      <w:pPr>
        <w:pStyle w:val="2"/>
        <w:rPr>
          <w:rFonts w:hint="eastAsia" w:ascii="Times New Roman"/>
          <w:b w:val="0"/>
          <w:bCs w:val="0"/>
          <w:sz w:val="28"/>
          <w:szCs w:val="28"/>
          <w:lang w:val="en-US" w:eastAsia="zh-CN"/>
        </w:rPr>
      </w:pPr>
      <w:r>
        <w:rPr>
          <w:rFonts w:hint="eastAsia" w:ascii="Times New Roman"/>
          <w:b w:val="0"/>
          <w:bCs w:val="0"/>
          <w:sz w:val="28"/>
          <w:szCs w:val="28"/>
          <w:lang w:val="en-US" w:eastAsia="zh-CN"/>
        </w:rPr>
        <w:t>一、企业基本情况</w:t>
      </w:r>
    </w:p>
    <w:p>
      <w:pPr>
        <w:pStyle w:val="7"/>
        <w:spacing w:line="360" w:lineRule="auto"/>
        <w:ind w:firstLine="0"/>
        <w:outlineLvl w:val="2"/>
        <w:rPr>
          <w:rFonts w:hint="eastAsia" w:ascii="宋体" w:hAnsi="宋体" w:eastAsia="宋体" w:cs="宋体"/>
          <w:szCs w:val="28"/>
        </w:rPr>
      </w:pPr>
      <w:bookmarkStart w:id="0" w:name="_Toc53598607"/>
      <w:r>
        <w:rPr>
          <w:rFonts w:hint="eastAsia" w:ascii="宋体" w:hAnsi="宋体" w:eastAsia="宋体" w:cs="宋体"/>
          <w:szCs w:val="28"/>
        </w:rPr>
        <w:t>1.1 基础信息</w:t>
      </w:r>
      <w:bookmarkEnd w:id="0"/>
    </w:p>
    <w:tbl>
      <w:tblPr>
        <w:tblStyle w:val="10"/>
        <w:tblpPr w:leftFromText="180" w:rightFromText="180" w:vertAnchor="text" w:horzAnchor="page" w:tblpX="1995"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1401"/>
        <w:gridCol w:w="770"/>
        <w:gridCol w:w="284"/>
        <w:gridCol w:w="1050"/>
        <w:gridCol w:w="1562"/>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048" w:type="dxa"/>
            <w:noWrap w:val="0"/>
            <w:vAlign w:val="center"/>
          </w:tcPr>
          <w:p>
            <w:pPr>
              <w:jc w:val="center"/>
              <w:rPr>
                <w:rFonts w:ascii="宋体" w:hAnsi="宋体"/>
                <w:sz w:val="24"/>
              </w:rPr>
            </w:pPr>
            <w:r>
              <w:rPr>
                <w:rFonts w:hint="eastAsia" w:ascii="宋体" w:hAnsi="宋体"/>
                <w:sz w:val="24"/>
              </w:rPr>
              <w:t>企业名称</w:t>
            </w:r>
          </w:p>
        </w:tc>
        <w:tc>
          <w:tcPr>
            <w:tcW w:w="3505" w:type="dxa"/>
            <w:gridSpan w:val="4"/>
            <w:noWrap w:val="0"/>
            <w:vAlign w:val="center"/>
          </w:tcPr>
          <w:p>
            <w:pPr>
              <w:jc w:val="center"/>
              <w:rPr>
                <w:rFonts w:hint="eastAsia" w:ascii="宋体" w:hAnsi="宋体"/>
                <w:sz w:val="24"/>
              </w:rPr>
            </w:pPr>
            <w:r>
              <w:rPr>
                <w:rFonts w:hint="eastAsia" w:ascii="宋体" w:hAnsi="宋体"/>
                <w:sz w:val="24"/>
              </w:rPr>
              <w:t>眉山市派普污水处理有限公司</w:t>
            </w:r>
          </w:p>
        </w:tc>
        <w:tc>
          <w:tcPr>
            <w:tcW w:w="1562" w:type="dxa"/>
            <w:noWrap w:val="0"/>
            <w:vAlign w:val="center"/>
          </w:tcPr>
          <w:p>
            <w:pPr>
              <w:jc w:val="center"/>
              <w:rPr>
                <w:rFonts w:ascii="宋体" w:hAnsi="宋体"/>
                <w:sz w:val="24"/>
              </w:rPr>
            </w:pPr>
            <w:r>
              <w:rPr>
                <w:rFonts w:hint="eastAsia" w:ascii="宋体" w:hAnsi="宋体"/>
                <w:sz w:val="24"/>
              </w:rPr>
              <w:t>法人代表</w:t>
            </w:r>
          </w:p>
        </w:tc>
        <w:tc>
          <w:tcPr>
            <w:tcW w:w="1869" w:type="dxa"/>
            <w:noWrap w:val="0"/>
            <w:vAlign w:val="center"/>
          </w:tcPr>
          <w:p>
            <w:pPr>
              <w:jc w:val="center"/>
              <w:rPr>
                <w:rFonts w:hint="eastAsia" w:ascii="宋体" w:hAnsi="宋体" w:eastAsia="宋体"/>
                <w:sz w:val="24"/>
              </w:rPr>
            </w:pPr>
            <w:r>
              <w:rPr>
                <w:rFonts w:hint="eastAsia" w:ascii="宋体" w:hAnsi="宋体"/>
                <w:sz w:val="24"/>
              </w:rPr>
              <w:t>付昊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48" w:type="dxa"/>
            <w:noWrap w:val="0"/>
            <w:vAlign w:val="center"/>
          </w:tcPr>
          <w:p>
            <w:pPr>
              <w:jc w:val="center"/>
              <w:rPr>
                <w:rFonts w:ascii="宋体" w:hAnsi="宋体"/>
                <w:sz w:val="24"/>
              </w:rPr>
            </w:pPr>
            <w:r>
              <w:rPr>
                <w:rFonts w:hint="eastAsia" w:ascii="宋体" w:hAnsi="宋体"/>
                <w:sz w:val="24"/>
              </w:rPr>
              <w:t>地  址</w:t>
            </w:r>
          </w:p>
        </w:tc>
        <w:tc>
          <w:tcPr>
            <w:tcW w:w="6936" w:type="dxa"/>
            <w:gridSpan w:val="6"/>
            <w:noWrap w:val="0"/>
            <w:vAlign w:val="center"/>
          </w:tcPr>
          <w:p>
            <w:pPr>
              <w:jc w:val="center"/>
              <w:rPr>
                <w:rFonts w:hint="eastAsia" w:ascii="宋体" w:hAnsi="宋体" w:eastAsia="宋体"/>
                <w:sz w:val="24"/>
              </w:rPr>
            </w:pPr>
            <w:r>
              <w:rPr>
                <w:rFonts w:hint="eastAsia" w:ascii="宋体" w:hAnsi="宋体"/>
                <w:sz w:val="24"/>
              </w:rPr>
              <w:t>眉山市东坡区修文镇铝城村六组（甘眉工业园区）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048" w:type="dxa"/>
            <w:noWrap w:val="0"/>
            <w:vAlign w:val="center"/>
          </w:tcPr>
          <w:p>
            <w:pPr>
              <w:jc w:val="center"/>
              <w:rPr>
                <w:rFonts w:ascii="宋体" w:hAnsi="宋体"/>
                <w:sz w:val="24"/>
              </w:rPr>
            </w:pPr>
            <w:r>
              <w:rPr>
                <w:rFonts w:hint="eastAsia" w:ascii="宋体" w:hAnsi="宋体"/>
                <w:sz w:val="24"/>
              </w:rPr>
              <w:t>地理位置</w:t>
            </w:r>
          </w:p>
        </w:tc>
        <w:tc>
          <w:tcPr>
            <w:tcW w:w="1401" w:type="dxa"/>
            <w:noWrap w:val="0"/>
            <w:vAlign w:val="center"/>
          </w:tcPr>
          <w:p>
            <w:pPr>
              <w:jc w:val="center"/>
              <w:rPr>
                <w:rFonts w:ascii="宋体" w:hAnsi="宋体"/>
                <w:sz w:val="24"/>
              </w:rPr>
            </w:pPr>
            <w:r>
              <w:rPr>
                <w:rFonts w:hint="eastAsia" w:ascii="宋体" w:hAnsi="宋体"/>
                <w:sz w:val="24"/>
              </w:rPr>
              <w:t>经度</w:t>
            </w:r>
          </w:p>
        </w:tc>
        <w:tc>
          <w:tcPr>
            <w:tcW w:w="2104" w:type="dxa"/>
            <w:gridSpan w:val="3"/>
            <w:noWrap w:val="0"/>
            <w:vAlign w:val="center"/>
          </w:tcPr>
          <w:p>
            <w:pPr>
              <w:jc w:val="center"/>
              <w:rPr>
                <w:rFonts w:ascii="宋体" w:hAnsi="宋体" w:eastAsia="宋体"/>
                <w:sz w:val="24"/>
              </w:rPr>
            </w:pPr>
            <w:r>
              <w:rPr>
                <w:rFonts w:hint="eastAsia" w:ascii="宋体" w:hAnsi="宋体"/>
                <w:sz w:val="24"/>
              </w:rPr>
              <w:t>103°45′25.81″</w:t>
            </w:r>
          </w:p>
        </w:tc>
        <w:tc>
          <w:tcPr>
            <w:tcW w:w="1562" w:type="dxa"/>
            <w:noWrap w:val="0"/>
            <w:vAlign w:val="center"/>
          </w:tcPr>
          <w:p>
            <w:pPr>
              <w:jc w:val="center"/>
              <w:rPr>
                <w:rFonts w:ascii="宋体" w:hAnsi="宋体"/>
                <w:sz w:val="24"/>
              </w:rPr>
            </w:pPr>
            <w:r>
              <w:rPr>
                <w:rFonts w:hint="eastAsia" w:ascii="宋体" w:hAnsi="宋体"/>
                <w:sz w:val="24"/>
              </w:rPr>
              <w:t>纬度</w:t>
            </w:r>
          </w:p>
        </w:tc>
        <w:tc>
          <w:tcPr>
            <w:tcW w:w="1869" w:type="dxa"/>
            <w:noWrap w:val="0"/>
            <w:vAlign w:val="center"/>
          </w:tcPr>
          <w:p>
            <w:pPr>
              <w:jc w:val="center"/>
              <w:rPr>
                <w:rFonts w:ascii="宋体" w:hAnsi="宋体" w:eastAsia="宋体"/>
                <w:sz w:val="24"/>
              </w:rPr>
            </w:pPr>
            <w:r>
              <w:rPr>
                <w:rFonts w:hint="eastAsia" w:ascii="宋体" w:hAnsi="宋体"/>
                <w:sz w:val="24"/>
              </w:rPr>
              <w:t>29°59′48.80″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048" w:type="dxa"/>
            <w:vMerge w:val="restart"/>
            <w:noWrap w:val="0"/>
            <w:vAlign w:val="center"/>
          </w:tcPr>
          <w:p>
            <w:pPr>
              <w:jc w:val="center"/>
              <w:rPr>
                <w:rFonts w:ascii="宋体" w:hAnsi="宋体"/>
                <w:sz w:val="24"/>
              </w:rPr>
            </w:pPr>
            <w:r>
              <w:rPr>
                <w:rFonts w:hint="eastAsia" w:ascii="宋体" w:hAnsi="宋体"/>
                <w:sz w:val="24"/>
              </w:rPr>
              <w:t>联系人</w:t>
            </w:r>
          </w:p>
        </w:tc>
        <w:tc>
          <w:tcPr>
            <w:tcW w:w="1401" w:type="dxa"/>
            <w:vMerge w:val="restart"/>
            <w:noWrap w:val="0"/>
            <w:vAlign w:val="center"/>
          </w:tcPr>
          <w:p>
            <w:pPr>
              <w:jc w:val="center"/>
              <w:rPr>
                <w:rFonts w:hint="eastAsia" w:ascii="宋体" w:hAnsi="宋体" w:eastAsia="宋体"/>
                <w:sz w:val="24"/>
                <w:lang w:eastAsia="zh-CN"/>
              </w:rPr>
            </w:pPr>
            <w:r>
              <w:rPr>
                <w:rFonts w:hint="eastAsia" w:ascii="宋体" w:hAnsi="宋体" w:eastAsia="宋体"/>
                <w:sz w:val="24"/>
                <w:lang w:eastAsia="zh-CN"/>
              </w:rPr>
              <w:t>先永洪</w:t>
            </w:r>
          </w:p>
        </w:tc>
        <w:tc>
          <w:tcPr>
            <w:tcW w:w="1054" w:type="dxa"/>
            <w:gridSpan w:val="2"/>
            <w:vMerge w:val="restart"/>
            <w:noWrap w:val="0"/>
            <w:vAlign w:val="center"/>
          </w:tcPr>
          <w:p>
            <w:pPr>
              <w:jc w:val="center"/>
              <w:rPr>
                <w:rFonts w:ascii="宋体" w:hAnsi="宋体"/>
                <w:sz w:val="24"/>
              </w:rPr>
            </w:pPr>
            <w:r>
              <w:rPr>
                <w:rFonts w:hint="eastAsia" w:ascii="宋体" w:hAnsi="宋体"/>
                <w:sz w:val="24"/>
              </w:rPr>
              <w:t>联系</w:t>
            </w:r>
          </w:p>
          <w:p>
            <w:pPr>
              <w:jc w:val="center"/>
              <w:rPr>
                <w:rFonts w:ascii="宋体" w:hAnsi="宋体"/>
                <w:sz w:val="24"/>
              </w:rPr>
            </w:pPr>
            <w:r>
              <w:rPr>
                <w:rFonts w:hint="eastAsia" w:ascii="宋体" w:hAnsi="宋体"/>
                <w:sz w:val="24"/>
              </w:rPr>
              <w:t>方式</w:t>
            </w:r>
          </w:p>
        </w:tc>
        <w:tc>
          <w:tcPr>
            <w:tcW w:w="1050" w:type="dxa"/>
            <w:noWrap w:val="0"/>
            <w:vAlign w:val="center"/>
          </w:tcPr>
          <w:p>
            <w:pPr>
              <w:jc w:val="center"/>
              <w:rPr>
                <w:rFonts w:ascii="宋体" w:hAnsi="宋体"/>
                <w:sz w:val="24"/>
              </w:rPr>
            </w:pPr>
            <w:r>
              <w:rPr>
                <w:rFonts w:hint="eastAsia" w:ascii="宋体" w:hAnsi="宋体"/>
                <w:sz w:val="24"/>
              </w:rPr>
              <w:t>电话</w:t>
            </w:r>
          </w:p>
        </w:tc>
        <w:tc>
          <w:tcPr>
            <w:tcW w:w="3431" w:type="dxa"/>
            <w:gridSpan w:val="2"/>
            <w:noWrap w:val="0"/>
            <w:vAlign w:val="center"/>
          </w:tcPr>
          <w:p>
            <w:pPr>
              <w:jc w:val="center"/>
              <w:rPr>
                <w:rFonts w:hint="default" w:ascii="宋体" w:hAnsi="宋体" w:eastAsia="宋体"/>
                <w:sz w:val="24"/>
                <w:lang w:val="en-US" w:eastAsia="zh-CN"/>
              </w:rPr>
            </w:pPr>
            <w:r>
              <w:rPr>
                <w:rFonts w:hint="eastAsia" w:ascii="宋体" w:hAnsi="宋体" w:eastAsia="宋体"/>
                <w:sz w:val="24"/>
                <w:lang w:val="en-US" w:eastAsia="zh-CN"/>
              </w:rPr>
              <w:t>18282451580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048" w:type="dxa"/>
            <w:vMerge w:val="continue"/>
            <w:noWrap w:val="0"/>
            <w:vAlign w:val="center"/>
          </w:tcPr>
          <w:p>
            <w:pPr>
              <w:jc w:val="center"/>
              <w:rPr>
                <w:rFonts w:ascii="宋体" w:hAnsi="宋体"/>
                <w:sz w:val="24"/>
              </w:rPr>
            </w:pPr>
          </w:p>
        </w:tc>
        <w:tc>
          <w:tcPr>
            <w:tcW w:w="1401" w:type="dxa"/>
            <w:vMerge w:val="continue"/>
            <w:noWrap w:val="0"/>
            <w:vAlign w:val="center"/>
          </w:tcPr>
          <w:p>
            <w:pPr>
              <w:jc w:val="center"/>
              <w:rPr>
                <w:rFonts w:ascii="宋体" w:hAnsi="宋体"/>
                <w:sz w:val="24"/>
              </w:rPr>
            </w:pPr>
          </w:p>
        </w:tc>
        <w:tc>
          <w:tcPr>
            <w:tcW w:w="1054" w:type="dxa"/>
            <w:gridSpan w:val="2"/>
            <w:vMerge w:val="continue"/>
            <w:noWrap w:val="0"/>
            <w:vAlign w:val="center"/>
          </w:tcPr>
          <w:p>
            <w:pPr>
              <w:jc w:val="center"/>
              <w:rPr>
                <w:rFonts w:ascii="宋体" w:hAnsi="宋体"/>
                <w:sz w:val="24"/>
              </w:rPr>
            </w:pPr>
          </w:p>
        </w:tc>
        <w:tc>
          <w:tcPr>
            <w:tcW w:w="1050" w:type="dxa"/>
            <w:noWrap w:val="0"/>
            <w:vAlign w:val="center"/>
          </w:tcPr>
          <w:p>
            <w:pPr>
              <w:jc w:val="center"/>
              <w:rPr>
                <w:rFonts w:ascii="宋体" w:hAnsi="宋体"/>
                <w:sz w:val="24"/>
              </w:rPr>
            </w:pPr>
            <w:r>
              <w:rPr>
                <w:rFonts w:hint="eastAsia" w:ascii="宋体" w:hAnsi="宋体"/>
                <w:sz w:val="24"/>
              </w:rPr>
              <w:t>Email</w:t>
            </w:r>
          </w:p>
        </w:tc>
        <w:tc>
          <w:tcPr>
            <w:tcW w:w="3431" w:type="dxa"/>
            <w:gridSpan w:val="2"/>
            <w:noWrap w:val="0"/>
            <w:vAlign w:val="center"/>
          </w:tcPr>
          <w:p>
            <w:pPr>
              <w:jc w:val="center"/>
              <w:rPr>
                <w:rFonts w:hint="eastAsia" w:ascii="宋体" w:hAnsi="宋体" w:eastAsia="宋体"/>
                <w:sz w:val="24"/>
                <w:lang w:eastAsia="zh-CN"/>
              </w:rPr>
            </w:pPr>
            <w:r>
              <w:rPr>
                <w:rFonts w:hint="eastAsia" w:ascii="宋体" w:hAnsi="宋体" w:eastAsia="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048" w:type="dxa"/>
            <w:noWrap w:val="0"/>
            <w:vAlign w:val="center"/>
          </w:tcPr>
          <w:p>
            <w:pPr>
              <w:jc w:val="center"/>
              <w:rPr>
                <w:rFonts w:ascii="宋体" w:hAnsi="宋体"/>
                <w:sz w:val="24"/>
              </w:rPr>
            </w:pPr>
            <w:r>
              <w:rPr>
                <w:rFonts w:hint="eastAsia" w:ascii="宋体" w:hAnsi="宋体"/>
                <w:sz w:val="24"/>
              </w:rPr>
              <w:t>所属行业</w:t>
            </w:r>
          </w:p>
        </w:tc>
        <w:tc>
          <w:tcPr>
            <w:tcW w:w="6936" w:type="dxa"/>
            <w:gridSpan w:val="6"/>
            <w:noWrap w:val="0"/>
            <w:vAlign w:val="center"/>
          </w:tcPr>
          <w:p>
            <w:pPr>
              <w:jc w:val="center"/>
              <w:rPr>
                <w:rFonts w:ascii="宋体" w:hAnsi="宋体" w:eastAsia="宋体"/>
                <w:sz w:val="24"/>
              </w:rPr>
            </w:pPr>
            <w:r>
              <w:rPr>
                <w:rFonts w:hint="eastAsia" w:ascii="宋体" w:hAnsi="宋体"/>
                <w:sz w:val="24"/>
              </w:rPr>
              <w:t>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048" w:type="dxa"/>
            <w:noWrap w:val="0"/>
            <w:vAlign w:val="center"/>
          </w:tcPr>
          <w:p>
            <w:pPr>
              <w:jc w:val="center"/>
              <w:rPr>
                <w:rFonts w:ascii="宋体" w:hAnsi="宋体"/>
                <w:sz w:val="24"/>
              </w:rPr>
            </w:pPr>
            <w:r>
              <w:rPr>
                <w:rFonts w:hint="eastAsia" w:ascii="宋体" w:hAnsi="宋体"/>
                <w:sz w:val="24"/>
              </w:rPr>
              <w:t>污染源类别</w:t>
            </w:r>
          </w:p>
        </w:tc>
        <w:tc>
          <w:tcPr>
            <w:tcW w:w="6936" w:type="dxa"/>
            <w:gridSpan w:val="6"/>
            <w:noWrap w:val="0"/>
            <w:vAlign w:val="center"/>
          </w:tcPr>
          <w:p>
            <w:pPr>
              <w:jc w:val="center"/>
              <w:rPr>
                <w:rFonts w:hint="eastAsia" w:ascii="宋体" w:hAnsi="宋体"/>
                <w:sz w:val="24"/>
              </w:rPr>
            </w:pPr>
            <w:r>
              <w:rPr>
                <w:rFonts w:hint="eastAsia" w:ascii="宋体" w:hAnsi="宋体"/>
                <w:sz w:val="24"/>
              </w:rPr>
              <w:t>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048" w:type="dxa"/>
            <w:noWrap w:val="0"/>
            <w:vAlign w:val="center"/>
          </w:tcPr>
          <w:p>
            <w:pPr>
              <w:jc w:val="center"/>
              <w:rPr>
                <w:rFonts w:ascii="宋体" w:hAnsi="宋体"/>
                <w:sz w:val="24"/>
              </w:rPr>
            </w:pPr>
            <w:r>
              <w:rPr>
                <w:rFonts w:hint="eastAsia" w:ascii="宋体" w:hAnsi="宋体"/>
                <w:sz w:val="24"/>
              </w:rPr>
              <w:t>生产周期</w:t>
            </w:r>
          </w:p>
        </w:tc>
        <w:tc>
          <w:tcPr>
            <w:tcW w:w="6936" w:type="dxa"/>
            <w:gridSpan w:val="6"/>
            <w:noWrap w:val="0"/>
            <w:vAlign w:val="center"/>
          </w:tcPr>
          <w:p>
            <w:pPr>
              <w:jc w:val="center"/>
              <w:rPr>
                <w:rFonts w:hint="eastAsia" w:ascii="宋体" w:hAnsi="宋体"/>
                <w:sz w:val="24"/>
              </w:rPr>
            </w:pPr>
            <w:r>
              <w:rPr>
                <w:rFonts w:hint="eastAsia" w:ascii="宋体" w:hAnsi="宋体"/>
                <w:sz w:val="24"/>
              </w:rPr>
              <w:t>365天/年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048" w:type="dxa"/>
            <w:noWrap w:val="0"/>
            <w:vAlign w:val="center"/>
          </w:tcPr>
          <w:p>
            <w:pPr>
              <w:jc w:val="center"/>
              <w:rPr>
                <w:rFonts w:ascii="宋体" w:hAnsi="宋体"/>
                <w:sz w:val="24"/>
              </w:rPr>
            </w:pPr>
            <w:r>
              <w:rPr>
                <w:rFonts w:hint="eastAsia" w:ascii="宋体" w:hAnsi="宋体"/>
                <w:sz w:val="24"/>
              </w:rPr>
              <w:t>自行监测开展</w:t>
            </w:r>
          </w:p>
          <w:p>
            <w:pPr>
              <w:jc w:val="center"/>
              <w:rPr>
                <w:rFonts w:ascii="宋体" w:hAnsi="宋体"/>
                <w:sz w:val="24"/>
              </w:rPr>
            </w:pPr>
            <w:r>
              <w:rPr>
                <w:rFonts w:hint="eastAsia" w:ascii="宋体" w:hAnsi="宋体"/>
                <w:sz w:val="24"/>
              </w:rPr>
              <w:t>技术手段</w:t>
            </w:r>
          </w:p>
        </w:tc>
        <w:tc>
          <w:tcPr>
            <w:tcW w:w="6936" w:type="dxa"/>
            <w:gridSpan w:val="6"/>
            <w:noWrap w:val="0"/>
            <w:vAlign w:val="center"/>
          </w:tcPr>
          <w:p>
            <w:pPr>
              <w:jc w:val="center"/>
              <w:rPr>
                <w:rFonts w:hint="eastAsia" w:ascii="宋体" w:hAnsi="宋体"/>
                <w:sz w:val="24"/>
              </w:rPr>
            </w:pPr>
            <w:r>
              <w:rPr>
                <w:rFonts w:hint="eastAsia" w:ascii="宋体" w:hAnsi="宋体"/>
                <w:sz w:val="24"/>
              </w:rPr>
              <w:t>手工监测/自动监测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048" w:type="dxa"/>
            <w:vMerge w:val="restart"/>
            <w:noWrap w:val="0"/>
            <w:vAlign w:val="center"/>
          </w:tcPr>
          <w:p>
            <w:pPr>
              <w:jc w:val="center"/>
              <w:rPr>
                <w:rFonts w:ascii="宋体" w:hAnsi="宋体"/>
                <w:sz w:val="24"/>
              </w:rPr>
            </w:pPr>
            <w:r>
              <w:rPr>
                <w:rFonts w:hint="eastAsia" w:ascii="宋体" w:hAnsi="宋体"/>
                <w:sz w:val="24"/>
              </w:rPr>
              <w:t>自行监测</w:t>
            </w:r>
          </w:p>
          <w:p>
            <w:pPr>
              <w:jc w:val="center"/>
              <w:rPr>
                <w:rFonts w:ascii="宋体" w:hAnsi="宋体"/>
                <w:sz w:val="24"/>
              </w:rPr>
            </w:pPr>
            <w:r>
              <w:rPr>
                <w:rFonts w:hint="eastAsia" w:ascii="宋体" w:hAnsi="宋体"/>
                <w:sz w:val="24"/>
              </w:rPr>
              <w:t>开展项目</w:t>
            </w:r>
          </w:p>
        </w:tc>
        <w:tc>
          <w:tcPr>
            <w:tcW w:w="2171" w:type="dxa"/>
            <w:gridSpan w:val="2"/>
            <w:noWrap w:val="0"/>
            <w:vAlign w:val="center"/>
          </w:tcPr>
          <w:p>
            <w:pPr>
              <w:jc w:val="center"/>
              <w:rPr>
                <w:rFonts w:ascii="宋体" w:hAnsi="宋体"/>
                <w:sz w:val="24"/>
              </w:rPr>
            </w:pPr>
            <w:r>
              <w:rPr>
                <w:rFonts w:hint="eastAsia" w:ascii="宋体" w:hAnsi="宋体"/>
                <w:sz w:val="24"/>
              </w:rPr>
              <w:t>自动监测项目</w:t>
            </w:r>
          </w:p>
        </w:tc>
        <w:tc>
          <w:tcPr>
            <w:tcW w:w="4765" w:type="dxa"/>
            <w:gridSpan w:val="4"/>
            <w:noWrap w:val="0"/>
            <w:vAlign w:val="center"/>
          </w:tcPr>
          <w:p>
            <w:pPr>
              <w:rPr>
                <w:rFonts w:ascii="宋体" w:hAnsi="宋体" w:eastAsia="宋体"/>
                <w:sz w:val="24"/>
              </w:rPr>
            </w:pPr>
            <w:r>
              <w:rPr>
                <w:rFonts w:hint="eastAsia" w:ascii="宋体" w:hAnsi="宋体"/>
                <w:sz w:val="24"/>
              </w:rPr>
              <w:t>化学需氧量、氨氮、总氮、总磷、PH、流量、水温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048" w:type="dxa"/>
            <w:vMerge w:val="continue"/>
            <w:noWrap w:val="0"/>
            <w:vAlign w:val="center"/>
          </w:tcPr>
          <w:p>
            <w:pPr>
              <w:jc w:val="center"/>
              <w:rPr>
                <w:rFonts w:ascii="宋体" w:hAnsi="宋体"/>
                <w:sz w:val="24"/>
              </w:rPr>
            </w:pPr>
          </w:p>
        </w:tc>
        <w:tc>
          <w:tcPr>
            <w:tcW w:w="2171" w:type="dxa"/>
            <w:gridSpan w:val="2"/>
            <w:noWrap w:val="0"/>
            <w:vAlign w:val="center"/>
          </w:tcPr>
          <w:p>
            <w:pPr>
              <w:jc w:val="center"/>
              <w:rPr>
                <w:rFonts w:ascii="宋体" w:hAnsi="宋体"/>
                <w:sz w:val="24"/>
              </w:rPr>
            </w:pPr>
            <w:r>
              <w:rPr>
                <w:rFonts w:hint="eastAsia" w:ascii="宋体" w:hAnsi="宋体"/>
                <w:sz w:val="24"/>
              </w:rPr>
              <w:t>手工监测项目</w:t>
            </w:r>
          </w:p>
        </w:tc>
        <w:tc>
          <w:tcPr>
            <w:tcW w:w="4765" w:type="dxa"/>
            <w:gridSpan w:val="4"/>
            <w:noWrap w:val="0"/>
            <w:vAlign w:val="center"/>
          </w:tcPr>
          <w:p>
            <w:pPr>
              <w:jc w:val="center"/>
              <w:rPr>
                <w:rFonts w:hint="eastAsia" w:ascii="宋体" w:hAnsi="宋体" w:eastAsia="宋体"/>
                <w:sz w:val="24"/>
              </w:rPr>
            </w:pPr>
            <w:r>
              <w:rPr>
                <w:rFonts w:hint="eastAsia" w:ascii="宋体" w:hAnsi="宋体"/>
                <w:sz w:val="24"/>
              </w:rPr>
              <w:t>化学需氧量、氨氮、总氮、总磷、PH、悬浮物、色度、五日生化需氧量、石油类、总镉、总铬、总汞、总铅、总砷、六价铬、动植物油、阴离子表面活性剂、粪大肠菌群、总铜、总锌、总氰化物、总铁、总铝、烷基汞、氟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048" w:type="dxa"/>
            <w:vMerge w:val="restart"/>
            <w:noWrap w:val="0"/>
            <w:vAlign w:val="center"/>
          </w:tcPr>
          <w:p>
            <w:pPr>
              <w:jc w:val="center"/>
              <w:rPr>
                <w:rFonts w:ascii="宋体" w:hAnsi="宋体"/>
                <w:sz w:val="24"/>
              </w:rPr>
            </w:pPr>
            <w:r>
              <w:rPr>
                <w:rFonts w:hint="eastAsia" w:ascii="宋体" w:hAnsi="宋体"/>
                <w:sz w:val="24"/>
              </w:rPr>
              <w:t>自行监测</w:t>
            </w:r>
          </w:p>
          <w:p>
            <w:pPr>
              <w:jc w:val="center"/>
              <w:rPr>
                <w:rFonts w:ascii="宋体" w:hAnsi="宋体"/>
                <w:sz w:val="24"/>
              </w:rPr>
            </w:pPr>
            <w:r>
              <w:rPr>
                <w:rFonts w:hint="eastAsia" w:ascii="宋体" w:hAnsi="宋体"/>
                <w:sz w:val="24"/>
              </w:rPr>
              <w:t>开展方式</w:t>
            </w:r>
          </w:p>
        </w:tc>
        <w:tc>
          <w:tcPr>
            <w:tcW w:w="2171" w:type="dxa"/>
            <w:gridSpan w:val="2"/>
            <w:noWrap w:val="0"/>
            <w:vAlign w:val="center"/>
          </w:tcPr>
          <w:p>
            <w:pPr>
              <w:jc w:val="center"/>
              <w:rPr>
                <w:rFonts w:ascii="宋体" w:hAnsi="宋体"/>
                <w:sz w:val="24"/>
              </w:rPr>
            </w:pPr>
            <w:r>
              <w:rPr>
                <w:rFonts w:hint="eastAsia" w:ascii="宋体" w:hAnsi="宋体"/>
                <w:sz w:val="24"/>
              </w:rPr>
              <w:t>企业自行监测</w:t>
            </w:r>
          </w:p>
        </w:tc>
        <w:tc>
          <w:tcPr>
            <w:tcW w:w="4765" w:type="dxa"/>
            <w:gridSpan w:val="4"/>
            <w:noWrap w:val="0"/>
            <w:vAlign w:val="center"/>
          </w:tcPr>
          <w:p>
            <w:pPr>
              <w:jc w:val="center"/>
              <w:rPr>
                <w:rFonts w:hint="eastAsia" w:ascii="宋体" w:hAnsi="宋体" w:eastAsia="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048" w:type="dxa"/>
            <w:vMerge w:val="continue"/>
            <w:noWrap w:val="0"/>
            <w:vAlign w:val="center"/>
          </w:tcPr>
          <w:p>
            <w:pPr>
              <w:jc w:val="center"/>
              <w:rPr>
                <w:rFonts w:ascii="宋体" w:hAnsi="宋体"/>
                <w:sz w:val="24"/>
              </w:rPr>
            </w:pPr>
          </w:p>
        </w:tc>
        <w:tc>
          <w:tcPr>
            <w:tcW w:w="2171" w:type="dxa"/>
            <w:gridSpan w:val="2"/>
            <w:noWrap w:val="0"/>
            <w:vAlign w:val="center"/>
          </w:tcPr>
          <w:p>
            <w:pPr>
              <w:jc w:val="center"/>
              <w:rPr>
                <w:rFonts w:ascii="宋体" w:hAnsi="宋体"/>
                <w:sz w:val="24"/>
              </w:rPr>
            </w:pPr>
            <w:r>
              <w:rPr>
                <w:rFonts w:hint="eastAsia" w:ascii="宋体" w:hAnsi="宋体"/>
                <w:sz w:val="24"/>
              </w:rPr>
              <w:t>委托监测</w:t>
            </w:r>
          </w:p>
        </w:tc>
        <w:tc>
          <w:tcPr>
            <w:tcW w:w="4765" w:type="dxa"/>
            <w:gridSpan w:val="4"/>
            <w:noWrap w:val="0"/>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8984" w:type="dxa"/>
            <w:gridSpan w:val="7"/>
            <w:noWrap w:val="0"/>
            <w:vAlign w:val="center"/>
          </w:tcPr>
          <w:p>
            <w:pPr>
              <w:pStyle w:val="2"/>
              <w:rPr>
                <w:rFonts w:hint="eastAsia"/>
              </w:rPr>
            </w:pPr>
          </w:p>
        </w:tc>
      </w:tr>
    </w:tbl>
    <w:p>
      <w:pPr>
        <w:spacing w:line="360" w:lineRule="auto"/>
        <w:ind w:firstLine="480" w:firstLineChars="200"/>
        <w:jc w:val="left"/>
        <w:rPr>
          <w:rFonts w:ascii="Times New Roman" w:hAnsi="Times New Roman" w:eastAsia="宋体"/>
          <w:sz w:val="24"/>
        </w:rPr>
      </w:pPr>
      <w:r>
        <w:rPr>
          <w:rFonts w:ascii="Times New Roman" w:hAnsi="Times New Roman" w:eastAsia="宋体"/>
          <w:sz w:val="24"/>
        </w:rPr>
        <w:t>现污水处理厂运营公司为：四川希望环保工程技术有限公司</w:t>
      </w:r>
    </w:p>
    <w:p>
      <w:pPr>
        <w:spacing w:line="360" w:lineRule="auto"/>
        <w:ind w:firstLine="480" w:firstLineChars="200"/>
        <w:jc w:val="left"/>
        <w:rPr>
          <w:rFonts w:hint="eastAsia" w:ascii="Times New Roman" w:hAnsi="Times New Roman" w:eastAsia="宋体"/>
          <w:sz w:val="24"/>
          <w:lang w:val="en-US" w:eastAsia="zh-CN"/>
        </w:rPr>
      </w:pPr>
      <w:r>
        <w:rPr>
          <w:rFonts w:hint="eastAsia" w:ascii="Times New Roman" w:hAnsi="Times New Roman" w:eastAsia="宋体"/>
          <w:sz w:val="24"/>
          <w:lang w:val="en-US" w:eastAsia="zh-CN"/>
        </w:rPr>
        <w:t>在线监测设备运维公司为：四川中科中瑞环保科技有限公司</w:t>
      </w:r>
    </w:p>
    <w:p>
      <w:pPr>
        <w:pStyle w:val="2"/>
        <w:ind w:firstLine="480" w:firstLineChars="200"/>
        <w:rPr>
          <w:rFonts w:hint="eastAsia"/>
          <w:lang w:val="en-US" w:eastAsia="zh-CN"/>
        </w:rPr>
      </w:pPr>
      <w:r>
        <w:rPr>
          <w:rFonts w:hint="eastAsia" w:ascii="Times New Roman"/>
          <w:sz w:val="24"/>
          <w:lang w:val="en-US" w:eastAsia="zh-CN"/>
        </w:rPr>
        <w:t>委托第三方检测公司为：四川中环环境检测技术有限公司</w:t>
      </w:r>
    </w:p>
    <w:p>
      <w:pPr>
        <w:spacing w:line="360" w:lineRule="auto"/>
        <w:ind w:firstLine="480" w:firstLineChars="200"/>
        <w:jc w:val="left"/>
        <w:rPr>
          <w:rFonts w:ascii="Times New Roman" w:hAnsi="Times New Roman" w:eastAsia="宋体"/>
          <w:sz w:val="24"/>
        </w:rPr>
      </w:pPr>
      <w:r>
        <w:rPr>
          <w:rFonts w:ascii="Times New Roman" w:hAnsi="Times New Roman" w:eastAsia="宋体"/>
          <w:sz w:val="24"/>
        </w:rPr>
        <w:t>运行周期：24小时连续运行</w:t>
      </w:r>
    </w:p>
    <w:p>
      <w:pPr>
        <w:pStyle w:val="7"/>
        <w:spacing w:line="360" w:lineRule="auto"/>
        <w:ind w:firstLine="0"/>
        <w:outlineLvl w:val="2"/>
        <w:rPr>
          <w:rFonts w:hint="eastAsia" w:ascii="宋体" w:hAnsi="宋体" w:eastAsia="宋体" w:cs="宋体"/>
          <w:szCs w:val="28"/>
        </w:rPr>
      </w:pPr>
      <w:bookmarkStart w:id="1" w:name="_Toc53598608"/>
      <w:r>
        <w:rPr>
          <w:rFonts w:hint="eastAsia" w:ascii="宋体" w:hAnsi="宋体" w:eastAsia="宋体" w:cs="宋体"/>
          <w:szCs w:val="28"/>
        </w:rPr>
        <w:t>1.2生产工艺及产排污情况</w:t>
      </w:r>
      <w:bookmarkEnd w:id="1"/>
    </w:p>
    <w:p>
      <w:pPr>
        <w:spacing w:line="360" w:lineRule="auto"/>
        <w:ind w:firstLine="480" w:firstLineChars="200"/>
        <w:jc w:val="left"/>
        <w:rPr>
          <w:rFonts w:ascii="Times New Roman" w:hAnsi="Times New Roman" w:eastAsia="宋体"/>
          <w:sz w:val="24"/>
        </w:rPr>
      </w:pPr>
      <w:r>
        <w:rPr>
          <w:rFonts w:ascii="Times New Roman" w:hAnsi="Times New Roman" w:eastAsia="宋体"/>
          <w:sz w:val="24"/>
        </w:rPr>
        <w:t>厂区内主要构筑物有：</w:t>
      </w:r>
      <w:r>
        <w:rPr>
          <w:rFonts w:hint="eastAsia" w:ascii="Times New Roman" w:hAnsi="Times New Roman" w:eastAsia="宋体"/>
          <w:sz w:val="24"/>
        </w:rPr>
        <w:t>粗细格栅、沉砂池、调节池、水解酸化池、CASS池、滤池、储泥池</w:t>
      </w:r>
      <w:r>
        <w:rPr>
          <w:rFonts w:ascii="Times New Roman" w:hAnsi="Times New Roman" w:eastAsia="宋体"/>
          <w:sz w:val="24"/>
        </w:rPr>
        <w:t>等。</w:t>
      </w:r>
    </w:p>
    <w:p>
      <w:pPr>
        <w:spacing w:line="360" w:lineRule="auto"/>
        <w:ind w:firstLine="480" w:firstLineChars="200"/>
        <w:jc w:val="left"/>
        <w:rPr>
          <w:rFonts w:ascii="Times New Roman" w:hAnsi="Times New Roman" w:eastAsia="宋体"/>
          <w:sz w:val="24"/>
        </w:rPr>
      </w:pPr>
      <w:r>
        <w:rPr>
          <w:rFonts w:ascii="Times New Roman" w:hAnsi="Times New Roman" w:eastAsia="宋体"/>
          <w:sz w:val="24"/>
        </w:rPr>
        <w:t>附属构筑物有：鼓风机房及变配电间等。</w:t>
      </w:r>
    </w:p>
    <w:p>
      <w:pPr>
        <w:pStyle w:val="7"/>
        <w:spacing w:line="360" w:lineRule="auto"/>
        <w:ind w:firstLine="0"/>
        <w:outlineLvl w:val="2"/>
        <w:rPr>
          <w:rFonts w:hint="eastAsia" w:ascii="宋体" w:hAnsi="宋体" w:eastAsia="宋体" w:cs="宋体"/>
          <w:szCs w:val="28"/>
        </w:rPr>
      </w:pPr>
      <w:bookmarkStart w:id="2" w:name="_Toc53598609"/>
      <w:r>
        <w:rPr>
          <w:rFonts w:hint="eastAsia" w:ascii="宋体" w:hAnsi="宋体" w:eastAsia="宋体" w:cs="宋体"/>
          <w:szCs w:val="28"/>
        </w:rPr>
        <w:t>1.3工艺流程</w:t>
      </w:r>
      <w:bookmarkEnd w:id="2"/>
    </w:p>
    <w:p>
      <w:pPr>
        <w:pStyle w:val="3"/>
        <w:keepNext w:val="0"/>
        <w:keepLines w:val="0"/>
        <w:suppressAutoHyphens/>
        <w:spacing w:line="360" w:lineRule="auto"/>
        <w:jc w:val="left"/>
        <w:rPr>
          <w:rFonts w:hint="eastAsia" w:ascii="黑体" w:hAnsi="黑体" w:eastAsia="黑体" w:cs="黑体"/>
          <w:b w:val="0"/>
          <w:bCs w:val="0"/>
          <w:sz w:val="30"/>
          <w:szCs w:val="30"/>
        </w:rPr>
      </w:pPr>
      <w:bookmarkStart w:id="3" w:name="_Toc53598610"/>
      <w:r>
        <w:rPr>
          <w:rFonts w:hint="eastAsia" w:ascii="Times New Roman" w:hAnsi="Times New Roman" w:eastAsia="宋体"/>
          <w:sz w:val="24"/>
          <w:szCs w:val="24"/>
        </w:rPr>
        <w:t>工艺流程图</w:t>
      </w:r>
      <w:bookmarkEnd w:id="3"/>
    </w:p>
    <w:p>
      <w:pPr>
        <w:spacing w:line="360" w:lineRule="auto"/>
        <w:jc w:val="center"/>
        <w:rPr>
          <w:rFonts w:hint="eastAsia" w:ascii="宋体" w:hAnsi="宋体" w:eastAsia="宋体" w:cs="宋体"/>
          <w:sz w:val="24"/>
        </w:rPr>
      </w:pPr>
      <w:r>
        <w:rPr>
          <w:rFonts w:hint="eastAsia" w:ascii="宋体" w:hAnsi="宋体" w:eastAsia="宋体" w:cs="宋体"/>
          <w:sz w:val="24"/>
        </w:rPr>
        <w:object>
          <v:shape id="_x0000_i1025" o:spt="75" type="#_x0000_t75" style="height:251.1pt;width:482.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eastAsia" w:ascii="宋体" w:hAnsi="宋体" w:eastAsia="宋体" w:cs="宋体"/>
          <w:b/>
          <w:bCs/>
          <w:sz w:val="24"/>
        </w:rPr>
        <w:t>（一期工艺流程</w:t>
      </w:r>
      <w:r>
        <w:rPr>
          <w:rFonts w:hint="eastAsia" w:ascii="宋体" w:hAnsi="宋体" w:cs="宋体"/>
          <w:b/>
          <w:bCs/>
          <w:sz w:val="24"/>
        </w:rPr>
        <w:t>简</w:t>
      </w:r>
      <w:r>
        <w:rPr>
          <w:rFonts w:hint="eastAsia" w:ascii="宋体" w:hAnsi="宋体" w:eastAsia="宋体" w:cs="宋体"/>
          <w:b/>
          <w:bCs/>
          <w:sz w:val="24"/>
        </w:rPr>
        <w:t>图）</w:t>
      </w:r>
    </w:p>
    <w:p>
      <w:pPr>
        <w:spacing w:line="360" w:lineRule="auto"/>
        <w:jc w:val="center"/>
        <w:rPr>
          <w:rFonts w:hint="eastAsia" w:ascii="宋体" w:hAnsi="宋体" w:eastAsia="宋体" w:cs="宋体"/>
          <w:b/>
          <w:bCs/>
          <w:sz w:val="24"/>
        </w:rPr>
      </w:pPr>
      <w:r>
        <w:rPr>
          <w:rFonts w:hint="eastAsia" w:ascii="宋体" w:hAnsi="宋体" w:eastAsia="宋体" w:cs="宋体"/>
          <w:sz w:val="24"/>
        </w:rPr>
        <w:object>
          <v:shape id="_x0000_i1026" o:spt="75" type="#_x0000_t75" style="height:251.1pt;width:482.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r>
        <w:rPr>
          <w:rFonts w:hint="eastAsia" w:ascii="宋体" w:hAnsi="宋体" w:eastAsia="宋体" w:cs="宋体"/>
          <w:b/>
          <w:bCs/>
          <w:sz w:val="24"/>
        </w:rPr>
        <w:t>（二期工艺流程</w:t>
      </w:r>
      <w:r>
        <w:rPr>
          <w:rFonts w:hint="eastAsia" w:ascii="宋体" w:hAnsi="宋体" w:cs="宋体"/>
          <w:b/>
          <w:bCs/>
          <w:sz w:val="24"/>
        </w:rPr>
        <w:t>简</w:t>
      </w:r>
      <w:r>
        <w:rPr>
          <w:rFonts w:hint="eastAsia" w:ascii="宋体" w:hAnsi="宋体" w:eastAsia="宋体" w:cs="宋体"/>
          <w:b/>
          <w:bCs/>
          <w:sz w:val="24"/>
        </w:rPr>
        <w:t>图）</w:t>
      </w:r>
    </w:p>
    <w:p>
      <w:pPr>
        <w:spacing w:line="360" w:lineRule="auto"/>
        <w:ind w:firstLine="480" w:firstLineChars="200"/>
        <w:jc w:val="left"/>
        <w:rPr>
          <w:rFonts w:ascii="Times New Roman" w:hAnsi="Times New Roman" w:eastAsia="宋体"/>
          <w:sz w:val="24"/>
        </w:rPr>
      </w:pPr>
    </w:p>
    <w:p>
      <w:pPr>
        <w:jc w:val="center"/>
        <w:rPr>
          <w:rFonts w:hint="eastAsia" w:hAnsi="华文仿宋" w:eastAsia="华文仿宋"/>
          <w:sz w:val="32"/>
          <w:szCs w:val="32"/>
        </w:rPr>
      </w:pPr>
    </w:p>
    <w:p>
      <w:pPr>
        <w:spacing w:line="360" w:lineRule="auto"/>
        <w:ind w:firstLine="630"/>
        <w:jc w:val="left"/>
        <w:rPr>
          <w:rFonts w:ascii="Times New Roman" w:hAnsi="Times New Roman" w:eastAsia="宋体"/>
          <w:sz w:val="24"/>
        </w:rPr>
      </w:pPr>
      <w:r>
        <w:rPr>
          <w:rFonts w:ascii="Times New Roman" w:hAnsi="Times New Roman" w:eastAsia="宋体"/>
          <w:sz w:val="24"/>
        </w:rPr>
        <w:t>排放口位于</w:t>
      </w:r>
      <w:r>
        <w:rPr>
          <w:rFonts w:hint="eastAsia" w:ascii="Times New Roman" w:hAnsi="Times New Roman" w:eastAsia="宋体"/>
          <w:sz w:val="24"/>
        </w:rPr>
        <w:t>污水处理厂内</w:t>
      </w:r>
      <w:r>
        <w:rPr>
          <w:rFonts w:ascii="Times New Roman" w:hAnsi="Times New Roman" w:eastAsia="宋体"/>
          <w:sz w:val="24"/>
        </w:rPr>
        <w:t>，编号：</w:t>
      </w:r>
      <w:r>
        <w:rPr>
          <w:rFonts w:hint="eastAsia" w:ascii="Times New Roman" w:hAnsi="Times New Roman" w:eastAsia="宋体"/>
          <w:sz w:val="24"/>
        </w:rPr>
        <w:t>PP-WS-01</w:t>
      </w:r>
    </w:p>
    <w:p>
      <w:pPr>
        <w:pStyle w:val="4"/>
        <w:numPr>
          <w:ilvl w:val="1"/>
          <w:numId w:val="0"/>
        </w:numPr>
        <w:spacing w:before="312" w:beforeLines="100" w:after="0" w:line="360" w:lineRule="auto"/>
        <w:rPr>
          <w:rFonts w:hint="eastAsia" w:ascii="宋体" w:hAnsi="宋体" w:eastAsia="宋体" w:cs="宋体"/>
          <w:b w:val="0"/>
          <w:sz w:val="30"/>
          <w:szCs w:val="30"/>
        </w:rPr>
      </w:pPr>
      <w:bookmarkStart w:id="4" w:name="_Toc53598611"/>
      <w:r>
        <w:rPr>
          <w:rFonts w:hint="eastAsia" w:ascii="宋体" w:hAnsi="宋体" w:eastAsia="宋体" w:cs="宋体"/>
          <w:b w:val="0"/>
          <w:sz w:val="30"/>
          <w:szCs w:val="30"/>
          <w:lang w:eastAsia="zh-CN"/>
        </w:rPr>
        <w:t>二、</w:t>
      </w:r>
      <w:r>
        <w:rPr>
          <w:rFonts w:hint="eastAsia" w:ascii="宋体" w:hAnsi="宋体" w:eastAsia="宋体" w:cs="宋体"/>
          <w:b w:val="0"/>
          <w:sz w:val="30"/>
          <w:szCs w:val="30"/>
        </w:rPr>
        <w:t>执行标准及其限值</w:t>
      </w:r>
      <w:bookmarkEnd w:id="4"/>
    </w:p>
    <w:p>
      <w:pPr>
        <w:pStyle w:val="7"/>
        <w:spacing w:line="360" w:lineRule="auto"/>
        <w:ind w:firstLine="0"/>
        <w:outlineLvl w:val="2"/>
        <w:rPr>
          <w:rFonts w:hint="eastAsia" w:ascii="宋体" w:hAnsi="宋体" w:eastAsia="宋体" w:cs="宋体"/>
          <w:szCs w:val="28"/>
        </w:rPr>
      </w:pPr>
      <w:bookmarkStart w:id="5" w:name="_Toc53598612"/>
      <w:r>
        <w:rPr>
          <w:rFonts w:hint="eastAsia" w:ascii="宋体" w:hAnsi="宋体" w:eastAsia="宋体" w:cs="宋体"/>
          <w:szCs w:val="28"/>
        </w:rPr>
        <w:t>2.1废水执行标准及其限值</w:t>
      </w:r>
      <w:bookmarkEnd w:id="5"/>
    </w:p>
    <w:p>
      <w:pPr>
        <w:spacing w:line="360" w:lineRule="auto"/>
        <w:ind w:firstLine="480" w:firstLineChars="200"/>
        <w:jc w:val="left"/>
        <w:rPr>
          <w:rFonts w:ascii="Times New Roman" w:hAnsi="Times New Roman" w:eastAsia="宋体"/>
          <w:kern w:val="0"/>
          <w:sz w:val="24"/>
        </w:rPr>
      </w:pPr>
      <w:r>
        <w:rPr>
          <w:rFonts w:ascii="Times New Roman" w:hAnsi="Times New Roman" w:eastAsia="宋体"/>
          <w:kern w:val="0"/>
          <w:sz w:val="24"/>
        </w:rPr>
        <w:t>我厂生产废水、生活废水排放去向</w:t>
      </w:r>
      <w:r>
        <w:rPr>
          <w:rFonts w:hint="eastAsia" w:ascii="Times New Roman" w:hAnsi="Times New Roman" w:eastAsia="宋体"/>
          <w:kern w:val="0"/>
          <w:sz w:val="24"/>
        </w:rPr>
        <w:t>为直接进入我厂污水处理系统，与厂外进水一并处理，</w:t>
      </w:r>
      <w:r>
        <w:rPr>
          <w:rFonts w:ascii="Times New Roman" w:hAnsi="Times New Roman" w:eastAsia="宋体"/>
          <w:kern w:val="0"/>
          <w:sz w:val="24"/>
        </w:rPr>
        <w:t>排放方式为</w:t>
      </w:r>
      <w:r>
        <w:rPr>
          <w:rFonts w:hint="eastAsia" w:ascii="Times New Roman" w:hAnsi="Times New Roman" w:eastAsia="宋体"/>
          <w:kern w:val="0"/>
          <w:sz w:val="24"/>
        </w:rPr>
        <w:t>间接排放</w:t>
      </w:r>
      <w:r>
        <w:rPr>
          <w:rFonts w:ascii="Times New Roman" w:hAnsi="Times New Roman" w:eastAsia="宋体"/>
          <w:kern w:val="0"/>
          <w:sz w:val="24"/>
        </w:rPr>
        <w:t>，</w:t>
      </w:r>
      <w:r>
        <w:rPr>
          <w:rFonts w:hint="eastAsia" w:ascii="Times New Roman" w:hAnsi="Times New Roman" w:eastAsia="宋体"/>
          <w:kern w:val="0"/>
          <w:sz w:val="24"/>
        </w:rPr>
        <w:t>我厂</w:t>
      </w:r>
      <w:r>
        <w:rPr>
          <w:rFonts w:ascii="Times New Roman" w:hAnsi="Times New Roman" w:eastAsia="宋体"/>
          <w:kern w:val="0"/>
          <w:sz w:val="24"/>
        </w:rPr>
        <w:t>污水</w:t>
      </w:r>
      <w:r>
        <w:rPr>
          <w:rFonts w:hint="eastAsia" w:ascii="Times New Roman" w:hAnsi="Times New Roman" w:eastAsia="宋体"/>
          <w:kern w:val="0"/>
          <w:sz w:val="24"/>
        </w:rPr>
        <w:t>排放</w:t>
      </w:r>
      <w:r>
        <w:rPr>
          <w:rFonts w:ascii="Times New Roman" w:hAnsi="Times New Roman" w:eastAsia="宋体"/>
          <w:kern w:val="0"/>
          <w:sz w:val="24"/>
        </w:rPr>
        <w:t>执行</w:t>
      </w:r>
      <w:r>
        <w:rPr>
          <w:rFonts w:hint="eastAsia" w:ascii="Times New Roman" w:hAnsi="Times New Roman" w:eastAsia="宋体"/>
          <w:kern w:val="0"/>
          <w:sz w:val="24"/>
        </w:rPr>
        <w:t>《</w:t>
      </w:r>
      <w:r>
        <w:rPr>
          <w:rFonts w:hint="eastAsia" w:ascii="Times New Roman" w:hAnsi="Times New Roman" w:eastAsia="宋体"/>
          <w:kern w:val="0"/>
          <w:sz w:val="24"/>
          <w:lang w:eastAsia="zh-CN"/>
        </w:rPr>
        <w:t>四川省岷江、沱江流域水污染物排放标准</w:t>
      </w:r>
      <w:r>
        <w:rPr>
          <w:rFonts w:hint="eastAsia" w:ascii="Times New Roman" w:hAnsi="Times New Roman" w:eastAsia="宋体"/>
          <w:kern w:val="0"/>
          <w:sz w:val="24"/>
        </w:rPr>
        <w:t>》</w:t>
      </w:r>
      <w:r>
        <w:rPr>
          <w:rFonts w:ascii="Times New Roman" w:hAnsi="Times New Roman" w:eastAsia="宋体"/>
          <w:kern w:val="0"/>
          <w:sz w:val="24"/>
        </w:rPr>
        <w:t>（</w:t>
      </w:r>
      <w:r>
        <w:rPr>
          <w:rFonts w:hint="eastAsia" w:ascii="Times New Roman" w:hAnsi="Times New Roman" w:eastAsia="宋体"/>
          <w:kern w:val="0"/>
          <w:sz w:val="24"/>
          <w:lang w:val="en-US" w:eastAsia="zh-CN"/>
        </w:rPr>
        <w:t>DB51/2311-2016</w:t>
      </w:r>
      <w:r>
        <w:rPr>
          <w:rFonts w:ascii="Times New Roman" w:hAnsi="Times New Roman" w:eastAsia="宋体"/>
          <w:kern w:val="0"/>
          <w:sz w:val="24"/>
        </w:rPr>
        <w:t>）</w:t>
      </w:r>
      <w:r>
        <w:rPr>
          <w:rFonts w:hint="eastAsia" w:ascii="Times New Roman" w:hAnsi="Times New Roman" w:eastAsia="宋体"/>
          <w:kern w:val="0"/>
          <w:sz w:val="24"/>
          <w:lang w:eastAsia="zh-CN"/>
        </w:rPr>
        <w:t>工业园区集中式污水处理厂</w:t>
      </w:r>
      <w:r>
        <w:rPr>
          <w:rFonts w:hint="eastAsia" w:ascii="Times New Roman" w:hAnsi="Times New Roman" w:eastAsia="宋体"/>
          <w:kern w:val="0"/>
          <w:sz w:val="24"/>
        </w:rPr>
        <w:t>及《电镀污染物排放标准》（GB 21900-2008）新建企业排口取两者最严执行</w:t>
      </w:r>
      <w:r>
        <w:rPr>
          <w:rFonts w:ascii="Times New Roman" w:hAnsi="Times New Roman" w:eastAsia="宋体"/>
          <w:kern w:val="0"/>
          <w:sz w:val="24"/>
        </w:rPr>
        <w:t>，污染因子浓度限值见表</w:t>
      </w:r>
      <w:r>
        <w:rPr>
          <w:rFonts w:hint="eastAsia" w:ascii="Times New Roman" w:hAnsi="Times New Roman" w:eastAsia="宋体"/>
          <w:kern w:val="0"/>
          <w:sz w:val="24"/>
        </w:rPr>
        <w:t>1</w:t>
      </w:r>
      <w:r>
        <w:rPr>
          <w:rFonts w:ascii="Times New Roman" w:hAnsi="Times New Roman" w:eastAsia="宋体"/>
          <w:kern w:val="0"/>
          <w:sz w:val="24"/>
        </w:rPr>
        <w:t>。</w:t>
      </w:r>
    </w:p>
    <w:p>
      <w:pPr>
        <w:spacing w:before="312" w:beforeLines="100" w:line="360" w:lineRule="auto"/>
        <w:jc w:val="center"/>
        <w:rPr>
          <w:rFonts w:ascii="Times New Roman" w:hAnsi="Times New Roman" w:eastAsia="宋体"/>
          <w:b/>
          <w:bCs/>
          <w:szCs w:val="21"/>
        </w:rPr>
      </w:pPr>
      <w:r>
        <w:rPr>
          <w:rFonts w:ascii="Times New Roman" w:hAnsi="Times New Roman" w:eastAsia="宋体"/>
          <w:b/>
          <w:bCs/>
          <w:szCs w:val="21"/>
        </w:rPr>
        <w:t>表1废水执行标准及其限值</w:t>
      </w:r>
    </w:p>
    <w:tbl>
      <w:tblPr>
        <w:tblStyle w:val="10"/>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 w:type="dxa"/>
          <w:bottom w:w="0" w:type="dxa"/>
          <w:right w:w="10" w:type="dxa"/>
        </w:tblCellMar>
      </w:tblPr>
      <w:tblGrid>
        <w:gridCol w:w="709"/>
        <w:gridCol w:w="2197"/>
        <w:gridCol w:w="1542"/>
        <w:gridCol w:w="1540"/>
        <w:gridCol w:w="1541"/>
        <w:gridCol w:w="154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21"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序号</w:t>
            </w:r>
          </w:p>
        </w:tc>
        <w:tc>
          <w:tcPr>
            <w:tcW w:w="2197"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污染物名称</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执行标准</w:t>
            </w:r>
          </w:p>
        </w:tc>
        <w:tc>
          <w:tcPr>
            <w:tcW w:w="1540"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浓度限值</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单位</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93"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kern w:val="1"/>
                <w:szCs w:val="21"/>
              </w:rPr>
              <w:t>pH</w:t>
            </w:r>
          </w:p>
        </w:tc>
        <w:tc>
          <w:tcPr>
            <w:tcW w:w="1542" w:type="dxa"/>
            <w:vMerge w:val="restart"/>
            <w:noWrap w:val="0"/>
            <w:tcMar>
              <w:top w:w="0" w:type="dxa"/>
              <w:left w:w="108" w:type="dxa"/>
              <w:bottom w:w="0" w:type="dxa"/>
              <w:right w:w="108" w:type="dxa"/>
            </w:tcMar>
            <w:vAlign w:val="center"/>
          </w:tcPr>
          <w:p>
            <w:pPr>
              <w:spacing w:line="360" w:lineRule="auto"/>
              <w:jc w:val="center"/>
              <w:rPr>
                <w:rFonts w:hint="eastAsia" w:ascii="Times New Roman" w:hAnsi="Times New Roman" w:eastAsia="宋体"/>
                <w:szCs w:val="21"/>
                <w:lang w:eastAsia="zh-CN"/>
              </w:rPr>
            </w:pPr>
            <w:r>
              <w:rPr>
                <w:rFonts w:hint="eastAsia" w:ascii="Times New Roman" w:hAnsi="Times New Roman" w:eastAsia="宋体"/>
                <w:szCs w:val="21"/>
              </w:rPr>
              <w:t>《</w:t>
            </w:r>
            <w:r>
              <w:rPr>
                <w:rFonts w:hint="eastAsia" w:ascii="Times New Roman" w:hAnsi="Times New Roman" w:eastAsia="宋体"/>
                <w:szCs w:val="21"/>
                <w:lang w:eastAsia="zh-CN"/>
              </w:rPr>
              <w:t>四川省岷江、沱江流域水污染物排放标准</w:t>
            </w:r>
            <w:r>
              <w:rPr>
                <w:rFonts w:hint="eastAsia" w:ascii="Times New Roman" w:hAnsi="Times New Roman" w:eastAsia="宋体"/>
                <w:szCs w:val="21"/>
              </w:rPr>
              <w:t>》</w:t>
            </w:r>
            <w:r>
              <w:rPr>
                <w:rFonts w:ascii="Times New Roman" w:hAnsi="Times New Roman" w:eastAsia="宋体"/>
                <w:szCs w:val="21"/>
              </w:rPr>
              <w:t>（</w:t>
            </w:r>
            <w:r>
              <w:rPr>
                <w:rFonts w:hint="eastAsia" w:ascii="Times New Roman" w:hAnsi="Times New Roman" w:eastAsia="宋体"/>
                <w:szCs w:val="21"/>
                <w:lang w:val="en-US" w:eastAsia="zh-CN"/>
              </w:rPr>
              <w:t>DB51/2311-2016</w:t>
            </w:r>
            <w:r>
              <w:rPr>
                <w:rFonts w:ascii="Times New Roman" w:hAnsi="Times New Roman" w:eastAsia="宋体"/>
                <w:szCs w:val="21"/>
              </w:rPr>
              <w:t>）</w:t>
            </w:r>
            <w:r>
              <w:rPr>
                <w:rFonts w:hint="eastAsia" w:ascii="Times New Roman" w:hAnsi="Times New Roman" w:eastAsia="宋体"/>
                <w:szCs w:val="21"/>
                <w:lang w:eastAsia="zh-CN"/>
              </w:rPr>
              <w:t>工业园区集中式污水处理厂</w:t>
            </w: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6~9</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无量纲</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2</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化学需氧量</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hint="default" w:ascii="Times New Roman" w:hAnsi="Times New Roman" w:eastAsia="宋体"/>
                <w:szCs w:val="21"/>
                <w:lang w:val="en-US" w:eastAsia="zh-CN"/>
              </w:rPr>
            </w:pPr>
            <w:r>
              <w:rPr>
                <w:rFonts w:hint="eastAsia" w:ascii="Times New Roman" w:hAnsi="Times New Roman"/>
                <w:szCs w:val="21"/>
                <w:lang w:val="en-US" w:eastAsia="zh-CN"/>
              </w:rPr>
              <w:t>40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3</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kern w:val="1"/>
                <w:szCs w:val="21"/>
              </w:rPr>
              <w:t>氨氮</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hint="eastAsia" w:ascii="Times New Roman" w:hAnsi="Times New Roman" w:eastAsia="宋体"/>
                <w:szCs w:val="21"/>
                <w:lang w:eastAsia="zh-CN"/>
              </w:rPr>
            </w:pPr>
            <w:r>
              <w:rPr>
                <w:rFonts w:hint="eastAsia" w:ascii="Times New Roman" w:hAnsi="Times New Roman"/>
                <w:szCs w:val="21"/>
                <w:lang w:val="en-US" w:eastAsia="zh-CN"/>
              </w:rPr>
              <w:t>3</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4</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kern w:val="1"/>
                <w:szCs w:val="21"/>
              </w:rPr>
              <w:t>总磷</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0.5</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5</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总氮</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15</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6</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悬浮物</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10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7</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色度</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30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稀释倍数</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8</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五日</w:t>
            </w:r>
            <w:r>
              <w:rPr>
                <w:rFonts w:ascii="Times New Roman" w:hAnsi="Times New Roman"/>
                <w:szCs w:val="21"/>
              </w:rPr>
              <w:t>生化需氧量</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10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6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9</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动植物油</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10</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石油类</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11</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阴离子表面活性剂</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0.5</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8"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12</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粪大肠菌群</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1000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个/L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13</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总镉</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0.01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3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14</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总铬</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6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15</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总汞</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0.001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16</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总铅</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21"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17</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总砷</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0.1</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90"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18</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六价铬</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0.05</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19</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ascii="Times New Roman" w:hAnsi="Times New Roman"/>
                <w:kern w:val="1"/>
                <w:szCs w:val="21"/>
              </w:rPr>
              <w:t>烷基汞</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ascii="Times New Roman" w:hAnsi="Times New Roman"/>
                <w:szCs w:val="21"/>
              </w:rPr>
              <w:t>不得检出</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20</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hint="eastAsia" w:ascii="Times New Roman" w:hAnsi="Times New Roman"/>
                <w:kern w:val="1"/>
                <w:szCs w:val="21"/>
              </w:rPr>
              <w:t>总铜</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hint="eastAsia" w:ascii="Times New Roman" w:hAnsi="Times New Roman"/>
                <w:szCs w:val="21"/>
              </w:rPr>
              <w:t>0.5</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21</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hint="eastAsia" w:ascii="Times New Roman" w:hAnsi="Times New Roman"/>
                <w:kern w:val="1"/>
                <w:szCs w:val="21"/>
              </w:rPr>
              <w:t>总锌</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hint="eastAsia" w:ascii="Times New Roman" w:hAnsi="Times New Roman"/>
                <w:szCs w:val="21"/>
              </w:rPr>
              <w:t>1.0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22</w:t>
            </w:r>
          </w:p>
        </w:tc>
        <w:tc>
          <w:tcPr>
            <w:tcW w:w="2197" w:type="dxa"/>
            <w:noWrap w:val="0"/>
            <w:tcMar>
              <w:top w:w="0" w:type="dxa"/>
              <w:left w:w="108" w:type="dxa"/>
              <w:bottom w:w="0" w:type="dxa"/>
              <w:right w:w="108" w:type="dxa"/>
            </w:tcMar>
            <w:vAlign w:val="center"/>
          </w:tcPr>
          <w:p>
            <w:pPr>
              <w:pStyle w:val="15"/>
              <w:spacing w:line="360" w:lineRule="auto"/>
              <w:jc w:val="center"/>
              <w:rPr>
                <w:rFonts w:ascii="Times New Roman" w:hAnsi="Times New Roman"/>
                <w:kern w:val="1"/>
                <w:szCs w:val="21"/>
              </w:rPr>
            </w:pPr>
            <w:r>
              <w:rPr>
                <w:rFonts w:hint="eastAsia" w:ascii="Times New Roman" w:hAnsi="Times New Roman"/>
                <w:kern w:val="1"/>
                <w:szCs w:val="21"/>
              </w:rPr>
              <w:t>总氰化物</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hint="eastAsia" w:ascii="Times New Roman" w:hAnsi="Times New Roman"/>
                <w:szCs w:val="21"/>
              </w:rPr>
              <w:t>0.5</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23</w:t>
            </w:r>
          </w:p>
        </w:tc>
        <w:tc>
          <w:tcPr>
            <w:tcW w:w="2197" w:type="dxa"/>
            <w:noWrap w:val="0"/>
            <w:tcMar>
              <w:top w:w="0" w:type="dxa"/>
              <w:left w:w="108" w:type="dxa"/>
              <w:bottom w:w="0" w:type="dxa"/>
              <w:right w:w="108" w:type="dxa"/>
            </w:tcMar>
            <w:vAlign w:val="center"/>
          </w:tcPr>
          <w:p>
            <w:pPr>
              <w:pStyle w:val="15"/>
              <w:spacing w:line="360" w:lineRule="auto"/>
              <w:jc w:val="center"/>
              <w:rPr>
                <w:rFonts w:hint="eastAsia" w:ascii="Times New Roman" w:hAnsi="Times New Roman"/>
                <w:kern w:val="1"/>
                <w:szCs w:val="21"/>
              </w:rPr>
            </w:pPr>
            <w:r>
              <w:rPr>
                <w:rFonts w:hint="eastAsia" w:ascii="Times New Roman" w:hAnsi="Times New Roman"/>
                <w:kern w:val="1"/>
                <w:szCs w:val="21"/>
              </w:rPr>
              <w:t>总铁</w:t>
            </w:r>
          </w:p>
        </w:tc>
        <w:tc>
          <w:tcPr>
            <w:tcW w:w="1542"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kern w:val="0"/>
                <w:szCs w:val="21"/>
              </w:rPr>
              <w:t>《电镀污染物排放标准》（GB 21900-2008）企业废水总排口</w:t>
            </w: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hint="eastAsia" w:ascii="Times New Roman" w:hAnsi="Times New Roman"/>
                <w:szCs w:val="21"/>
              </w:rPr>
              <w:t>3</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24</w:t>
            </w:r>
          </w:p>
        </w:tc>
        <w:tc>
          <w:tcPr>
            <w:tcW w:w="2197" w:type="dxa"/>
            <w:noWrap w:val="0"/>
            <w:tcMar>
              <w:top w:w="0" w:type="dxa"/>
              <w:left w:w="108" w:type="dxa"/>
              <w:bottom w:w="0" w:type="dxa"/>
              <w:right w:w="108" w:type="dxa"/>
            </w:tcMar>
            <w:vAlign w:val="center"/>
          </w:tcPr>
          <w:p>
            <w:pPr>
              <w:pStyle w:val="15"/>
              <w:spacing w:line="360" w:lineRule="auto"/>
              <w:jc w:val="center"/>
              <w:rPr>
                <w:rFonts w:hint="eastAsia" w:ascii="Times New Roman" w:hAnsi="Times New Roman"/>
                <w:kern w:val="1"/>
                <w:szCs w:val="21"/>
              </w:rPr>
            </w:pPr>
            <w:r>
              <w:rPr>
                <w:rFonts w:hint="eastAsia" w:ascii="Times New Roman" w:hAnsi="Times New Roman"/>
                <w:kern w:val="1"/>
                <w:szCs w:val="21"/>
              </w:rPr>
              <w:t>总铝</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hint="eastAsia" w:ascii="Times New Roman" w:hAnsi="Times New Roman"/>
                <w:szCs w:val="21"/>
              </w:rPr>
              <w:t>3</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56" w:hRule="atLeast"/>
          <w:jc w:val="center"/>
        </w:trPr>
        <w:tc>
          <w:tcPr>
            <w:tcW w:w="709"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25</w:t>
            </w:r>
          </w:p>
        </w:tc>
        <w:tc>
          <w:tcPr>
            <w:tcW w:w="2197" w:type="dxa"/>
            <w:noWrap w:val="0"/>
            <w:tcMar>
              <w:top w:w="0" w:type="dxa"/>
              <w:left w:w="108" w:type="dxa"/>
              <w:bottom w:w="0" w:type="dxa"/>
              <w:right w:w="108" w:type="dxa"/>
            </w:tcMar>
            <w:vAlign w:val="center"/>
          </w:tcPr>
          <w:p>
            <w:pPr>
              <w:pStyle w:val="15"/>
              <w:spacing w:line="360" w:lineRule="auto"/>
              <w:jc w:val="center"/>
              <w:rPr>
                <w:rFonts w:hint="eastAsia" w:ascii="Times New Roman" w:hAnsi="Times New Roman"/>
                <w:kern w:val="1"/>
                <w:szCs w:val="21"/>
              </w:rPr>
            </w:pPr>
            <w:r>
              <w:rPr>
                <w:rFonts w:hint="eastAsia" w:ascii="Times New Roman" w:hAnsi="Times New Roman"/>
                <w:kern w:val="1"/>
                <w:szCs w:val="21"/>
              </w:rPr>
              <w:t>氟化物</w:t>
            </w:r>
          </w:p>
        </w:tc>
        <w:tc>
          <w:tcPr>
            <w:tcW w:w="154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40" w:type="dxa"/>
            <w:noWrap w:val="0"/>
            <w:tcMar>
              <w:top w:w="0" w:type="dxa"/>
              <w:left w:w="108" w:type="dxa"/>
              <w:bottom w:w="0" w:type="dxa"/>
              <w:right w:w="108" w:type="dxa"/>
            </w:tcMar>
            <w:vAlign w:val="center"/>
          </w:tcPr>
          <w:p>
            <w:pPr>
              <w:pStyle w:val="15"/>
              <w:spacing w:line="360" w:lineRule="auto"/>
              <w:jc w:val="center"/>
              <w:rPr>
                <w:rFonts w:ascii="Times New Roman" w:hAnsi="Times New Roman"/>
                <w:szCs w:val="21"/>
              </w:rPr>
            </w:pPr>
            <w:r>
              <w:rPr>
                <w:rFonts w:hint="eastAsia" w:ascii="Times New Roman" w:hAnsi="Times New Roman"/>
                <w:szCs w:val="21"/>
              </w:rPr>
              <w:t>10</w:t>
            </w:r>
          </w:p>
        </w:tc>
        <w:tc>
          <w:tcPr>
            <w:tcW w:w="154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mg/L</w:t>
            </w:r>
          </w:p>
        </w:tc>
        <w:tc>
          <w:tcPr>
            <w:tcW w:w="154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bl>
    <w:p>
      <w:pPr>
        <w:pStyle w:val="7"/>
        <w:spacing w:line="360" w:lineRule="auto"/>
        <w:ind w:firstLine="0"/>
        <w:outlineLvl w:val="2"/>
        <w:rPr>
          <w:rFonts w:hint="eastAsia" w:ascii="宋体" w:hAnsi="宋体" w:eastAsia="宋体" w:cs="宋体"/>
          <w:szCs w:val="28"/>
        </w:rPr>
      </w:pPr>
      <w:bookmarkStart w:id="6" w:name="_Toc53598613"/>
      <w:r>
        <w:rPr>
          <w:rFonts w:hint="eastAsia" w:ascii="宋体" w:hAnsi="宋体" w:eastAsia="宋体" w:cs="宋体"/>
          <w:szCs w:val="28"/>
        </w:rPr>
        <w:t>2.2废气执行标准及其限值</w:t>
      </w:r>
      <w:bookmarkEnd w:id="6"/>
    </w:p>
    <w:p>
      <w:pPr>
        <w:spacing w:line="360" w:lineRule="auto"/>
        <w:ind w:firstLine="480" w:firstLineChars="200"/>
        <w:jc w:val="left"/>
        <w:rPr>
          <w:rFonts w:ascii="Times New Roman" w:hAnsi="Times New Roman" w:eastAsia="宋体"/>
          <w:kern w:val="0"/>
          <w:sz w:val="24"/>
        </w:rPr>
      </w:pPr>
      <w:r>
        <w:rPr>
          <w:rFonts w:ascii="Times New Roman" w:hAnsi="Times New Roman" w:eastAsia="宋体"/>
          <w:kern w:val="0"/>
          <w:sz w:val="24"/>
        </w:rPr>
        <w:t>我厂产生的</w:t>
      </w:r>
      <w:r>
        <w:rPr>
          <w:rFonts w:hint="eastAsia" w:ascii="Times New Roman" w:hAnsi="Times New Roman" w:eastAsia="宋体"/>
          <w:kern w:val="0"/>
          <w:sz w:val="24"/>
        </w:rPr>
        <w:t>废气</w:t>
      </w:r>
      <w:r>
        <w:rPr>
          <w:rFonts w:ascii="Times New Roman" w:hAnsi="Times New Roman" w:eastAsia="宋体"/>
          <w:kern w:val="0"/>
          <w:sz w:val="24"/>
        </w:rPr>
        <w:t>污染物主要有</w:t>
      </w:r>
      <w:r>
        <w:rPr>
          <w:rFonts w:hint="eastAsia" w:ascii="Times New Roman" w:hAnsi="Times New Roman" w:eastAsia="宋体"/>
          <w:kern w:val="0"/>
          <w:sz w:val="24"/>
        </w:rPr>
        <w:t>无组织臭气浓度、硫化氢、氨气、甲烷，</w:t>
      </w:r>
      <w:r>
        <w:rPr>
          <w:rFonts w:ascii="Times New Roman" w:hAnsi="Times New Roman" w:eastAsia="宋体"/>
          <w:kern w:val="0"/>
          <w:sz w:val="24"/>
        </w:rPr>
        <w:t>污染因子执行</w:t>
      </w:r>
      <w:r>
        <w:rPr>
          <w:rFonts w:hint="eastAsia" w:ascii="Times New Roman" w:hAnsi="Times New Roman" w:eastAsia="宋体"/>
          <w:kern w:val="0"/>
          <w:sz w:val="24"/>
        </w:rPr>
        <w:t>城镇污水处理厂污染物排放标准（GB 18918-2002）表4二级标准，</w:t>
      </w:r>
      <w:r>
        <w:rPr>
          <w:rFonts w:ascii="Times New Roman" w:hAnsi="Times New Roman" w:eastAsia="宋体"/>
          <w:kern w:val="0"/>
          <w:sz w:val="24"/>
        </w:rPr>
        <w:t>具体如下表</w:t>
      </w:r>
      <w:r>
        <w:rPr>
          <w:rFonts w:hint="eastAsia" w:ascii="Times New Roman" w:hAnsi="Times New Roman" w:eastAsia="宋体"/>
          <w:kern w:val="0"/>
          <w:sz w:val="24"/>
        </w:rPr>
        <w:t>2</w:t>
      </w:r>
      <w:r>
        <w:rPr>
          <w:rFonts w:ascii="Times New Roman" w:hAnsi="Times New Roman" w:eastAsia="宋体"/>
          <w:kern w:val="0"/>
          <w:sz w:val="24"/>
        </w:rPr>
        <w:t>：</w:t>
      </w:r>
    </w:p>
    <w:p>
      <w:pPr>
        <w:spacing w:before="312" w:beforeLines="100" w:line="360" w:lineRule="auto"/>
        <w:jc w:val="center"/>
        <w:rPr>
          <w:rFonts w:ascii="Times New Roman" w:hAnsi="Times New Roman" w:eastAsia="宋体"/>
          <w:b/>
          <w:bCs/>
          <w:szCs w:val="21"/>
        </w:rPr>
      </w:pPr>
      <w:r>
        <w:rPr>
          <w:rFonts w:ascii="Times New Roman" w:hAnsi="Times New Roman" w:eastAsia="宋体"/>
          <w:b/>
          <w:bCs/>
          <w:szCs w:val="21"/>
        </w:rPr>
        <w:t>表</w:t>
      </w:r>
      <w:r>
        <w:rPr>
          <w:rFonts w:hint="eastAsia" w:ascii="Times New Roman" w:hAnsi="Times New Roman" w:eastAsia="宋体"/>
          <w:b/>
          <w:bCs/>
          <w:szCs w:val="21"/>
        </w:rPr>
        <w:t>2</w:t>
      </w:r>
      <w:r>
        <w:rPr>
          <w:rFonts w:ascii="Times New Roman" w:hAnsi="Times New Roman" w:eastAsia="宋体"/>
          <w:b/>
          <w:bCs/>
          <w:szCs w:val="21"/>
        </w:rPr>
        <w:t>无组织废气执行标准及其限值</w:t>
      </w:r>
    </w:p>
    <w:tbl>
      <w:tblPr>
        <w:tblStyle w:val="10"/>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 w:type="dxa"/>
          <w:bottom w:w="0" w:type="dxa"/>
          <w:right w:w="10" w:type="dxa"/>
        </w:tblCellMar>
      </w:tblPr>
      <w:tblGrid>
        <w:gridCol w:w="728"/>
        <w:gridCol w:w="1565"/>
        <w:gridCol w:w="3401"/>
        <w:gridCol w:w="1564"/>
        <w:gridCol w:w="958"/>
        <w:gridCol w:w="8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jc w:val="center"/>
        </w:trPr>
        <w:tc>
          <w:tcPr>
            <w:tcW w:w="728"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序号</w:t>
            </w:r>
          </w:p>
        </w:tc>
        <w:tc>
          <w:tcPr>
            <w:tcW w:w="1565"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污染物名称</w:t>
            </w:r>
          </w:p>
        </w:tc>
        <w:tc>
          <w:tcPr>
            <w:tcW w:w="3401"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执行标准</w:t>
            </w:r>
          </w:p>
        </w:tc>
        <w:tc>
          <w:tcPr>
            <w:tcW w:w="1564"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排放限值</w:t>
            </w:r>
          </w:p>
        </w:tc>
        <w:tc>
          <w:tcPr>
            <w:tcW w:w="958"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单位</w:t>
            </w:r>
          </w:p>
        </w:tc>
        <w:tc>
          <w:tcPr>
            <w:tcW w:w="855"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00" w:hRule="atLeast"/>
          <w:jc w:val="center"/>
        </w:trPr>
        <w:tc>
          <w:tcPr>
            <w:tcW w:w="72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w:t>
            </w:r>
          </w:p>
        </w:tc>
        <w:tc>
          <w:tcPr>
            <w:tcW w:w="156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臭气浓度</w:t>
            </w:r>
          </w:p>
        </w:tc>
        <w:tc>
          <w:tcPr>
            <w:tcW w:w="3401"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城镇污水处理厂污染物排放标准（GB 18918-2002）表4二级标准</w:t>
            </w:r>
          </w:p>
        </w:tc>
        <w:tc>
          <w:tcPr>
            <w:tcW w:w="1564"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20</w:t>
            </w:r>
          </w:p>
        </w:tc>
        <w:tc>
          <w:tcPr>
            <w:tcW w:w="95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无量纲</w:t>
            </w:r>
          </w:p>
        </w:tc>
        <w:tc>
          <w:tcPr>
            <w:tcW w:w="85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322" w:hRule="atLeast"/>
          <w:jc w:val="center"/>
        </w:trPr>
        <w:tc>
          <w:tcPr>
            <w:tcW w:w="72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2</w:t>
            </w:r>
          </w:p>
        </w:tc>
        <w:tc>
          <w:tcPr>
            <w:tcW w:w="156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硫化氢</w:t>
            </w:r>
          </w:p>
        </w:tc>
        <w:tc>
          <w:tcPr>
            <w:tcW w:w="3401"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64"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0.06</w:t>
            </w:r>
          </w:p>
        </w:tc>
        <w:tc>
          <w:tcPr>
            <w:tcW w:w="95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mg/m³</w:t>
            </w:r>
          </w:p>
        </w:tc>
        <w:tc>
          <w:tcPr>
            <w:tcW w:w="85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226" w:hRule="atLeast"/>
          <w:jc w:val="center"/>
        </w:trPr>
        <w:tc>
          <w:tcPr>
            <w:tcW w:w="72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3</w:t>
            </w:r>
          </w:p>
        </w:tc>
        <w:tc>
          <w:tcPr>
            <w:tcW w:w="156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氨气</w:t>
            </w:r>
          </w:p>
        </w:tc>
        <w:tc>
          <w:tcPr>
            <w:tcW w:w="3401"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64"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1.5</w:t>
            </w:r>
          </w:p>
        </w:tc>
        <w:tc>
          <w:tcPr>
            <w:tcW w:w="95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mg/m³</w:t>
            </w:r>
          </w:p>
        </w:tc>
        <w:tc>
          <w:tcPr>
            <w:tcW w:w="85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trHeight w:val="176" w:hRule="atLeast"/>
          <w:jc w:val="center"/>
        </w:trPr>
        <w:tc>
          <w:tcPr>
            <w:tcW w:w="72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4</w:t>
            </w:r>
          </w:p>
        </w:tc>
        <w:tc>
          <w:tcPr>
            <w:tcW w:w="156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甲烷</w:t>
            </w:r>
          </w:p>
        </w:tc>
        <w:tc>
          <w:tcPr>
            <w:tcW w:w="3401"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564"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w:t>
            </w:r>
          </w:p>
        </w:tc>
        <w:tc>
          <w:tcPr>
            <w:tcW w:w="958"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w:t>
            </w:r>
          </w:p>
        </w:tc>
        <w:tc>
          <w:tcPr>
            <w:tcW w:w="855"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w:t>
            </w:r>
          </w:p>
        </w:tc>
      </w:tr>
    </w:tbl>
    <w:p>
      <w:pPr>
        <w:pStyle w:val="7"/>
        <w:spacing w:line="360" w:lineRule="auto"/>
        <w:ind w:firstLine="0"/>
        <w:outlineLvl w:val="2"/>
        <w:rPr>
          <w:rFonts w:hint="eastAsia" w:ascii="宋体" w:hAnsi="宋体" w:eastAsia="宋体" w:cs="宋体"/>
          <w:szCs w:val="28"/>
        </w:rPr>
      </w:pPr>
      <w:bookmarkStart w:id="7" w:name="_Toc53598614"/>
      <w:r>
        <w:rPr>
          <w:rFonts w:hint="eastAsia" w:ascii="宋体" w:hAnsi="宋体" w:eastAsia="宋体" w:cs="宋体"/>
          <w:szCs w:val="28"/>
        </w:rPr>
        <w:t>2.3厂界噪声执行标准及其限值</w:t>
      </w:r>
      <w:bookmarkEnd w:id="7"/>
    </w:p>
    <w:p>
      <w:pPr>
        <w:spacing w:line="360" w:lineRule="auto"/>
        <w:ind w:firstLine="480" w:firstLineChars="200"/>
        <w:jc w:val="left"/>
        <w:rPr>
          <w:rFonts w:ascii="Times New Roman" w:hAnsi="Times New Roman" w:eastAsia="宋体"/>
          <w:kern w:val="0"/>
          <w:sz w:val="24"/>
        </w:rPr>
      </w:pPr>
      <w:r>
        <w:rPr>
          <w:rFonts w:ascii="Times New Roman" w:hAnsi="Times New Roman" w:eastAsia="宋体"/>
          <w:kern w:val="0"/>
          <w:sz w:val="24"/>
        </w:rPr>
        <w:t>我厂厂界噪声执行《工业企业厂界环境噪声排放标准》(GB12348-2008)表1中</w:t>
      </w:r>
      <w:r>
        <w:rPr>
          <w:rFonts w:hint="eastAsia" w:ascii="Times New Roman" w:hAnsi="Times New Roman" w:eastAsia="宋体"/>
          <w:kern w:val="0"/>
          <w:sz w:val="24"/>
        </w:rPr>
        <w:t>3</w:t>
      </w:r>
      <w:r>
        <w:rPr>
          <w:rFonts w:ascii="Times New Roman" w:hAnsi="Times New Roman" w:eastAsia="宋体"/>
          <w:kern w:val="0"/>
          <w:sz w:val="24"/>
        </w:rPr>
        <w:t>类声环境功能区标准，具体如下表</w:t>
      </w:r>
      <w:r>
        <w:rPr>
          <w:rFonts w:hint="eastAsia" w:ascii="Times New Roman" w:hAnsi="Times New Roman" w:eastAsia="宋体"/>
          <w:kern w:val="0"/>
          <w:sz w:val="24"/>
        </w:rPr>
        <w:t>3</w:t>
      </w:r>
      <w:r>
        <w:rPr>
          <w:rFonts w:ascii="Times New Roman" w:hAnsi="Times New Roman" w:eastAsia="宋体"/>
          <w:kern w:val="0"/>
          <w:sz w:val="24"/>
        </w:rPr>
        <w:t>：</w:t>
      </w:r>
    </w:p>
    <w:p>
      <w:pPr>
        <w:spacing w:before="312" w:beforeLines="100" w:line="360" w:lineRule="auto"/>
        <w:jc w:val="center"/>
        <w:rPr>
          <w:rFonts w:ascii="Times New Roman" w:hAnsi="Times New Roman" w:eastAsia="宋体"/>
          <w:b/>
          <w:bCs/>
          <w:szCs w:val="21"/>
        </w:rPr>
      </w:pPr>
      <w:r>
        <w:rPr>
          <w:rFonts w:ascii="Times New Roman" w:hAnsi="Times New Roman" w:eastAsia="宋体"/>
          <w:b/>
          <w:bCs/>
          <w:szCs w:val="21"/>
        </w:rPr>
        <w:t>表</w:t>
      </w:r>
      <w:r>
        <w:rPr>
          <w:rFonts w:hint="eastAsia" w:ascii="Times New Roman" w:hAnsi="Times New Roman" w:eastAsia="宋体"/>
          <w:b/>
          <w:bCs/>
          <w:szCs w:val="21"/>
        </w:rPr>
        <w:t>3</w:t>
      </w:r>
      <w:r>
        <w:rPr>
          <w:rFonts w:ascii="Times New Roman" w:hAnsi="Times New Roman" w:eastAsia="宋体"/>
          <w:b/>
          <w:bCs/>
          <w:szCs w:val="21"/>
        </w:rPr>
        <w:t>厂界噪声执行标准及其限值</w:t>
      </w:r>
    </w:p>
    <w:tbl>
      <w:tblPr>
        <w:tblStyle w:val="10"/>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 w:type="dxa"/>
          <w:bottom w:w="0" w:type="dxa"/>
          <w:right w:w="10" w:type="dxa"/>
        </w:tblCellMar>
      </w:tblPr>
      <w:tblGrid>
        <w:gridCol w:w="721"/>
        <w:gridCol w:w="1373"/>
        <w:gridCol w:w="3880"/>
        <w:gridCol w:w="734"/>
        <w:gridCol w:w="734"/>
        <w:gridCol w:w="847"/>
        <w:gridCol w:w="78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jc w:val="center"/>
        </w:trPr>
        <w:tc>
          <w:tcPr>
            <w:tcW w:w="721"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序号</w:t>
            </w:r>
          </w:p>
        </w:tc>
        <w:tc>
          <w:tcPr>
            <w:tcW w:w="1373"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污染物名称</w:t>
            </w:r>
          </w:p>
        </w:tc>
        <w:tc>
          <w:tcPr>
            <w:tcW w:w="3880"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执行标准</w:t>
            </w:r>
          </w:p>
        </w:tc>
        <w:tc>
          <w:tcPr>
            <w:tcW w:w="1468" w:type="dxa"/>
            <w:gridSpan w:val="2"/>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排放限值</w:t>
            </w:r>
          </w:p>
        </w:tc>
        <w:tc>
          <w:tcPr>
            <w:tcW w:w="847"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单位</w:t>
            </w:r>
          </w:p>
        </w:tc>
        <w:tc>
          <w:tcPr>
            <w:tcW w:w="782" w:type="dxa"/>
            <w:vMerge w:val="restart"/>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jc w:val="center"/>
        </w:trPr>
        <w:tc>
          <w:tcPr>
            <w:tcW w:w="721"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1373"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3880"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734"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昼间</w:t>
            </w:r>
          </w:p>
        </w:tc>
        <w:tc>
          <w:tcPr>
            <w:tcW w:w="734" w:type="dxa"/>
            <w:noWrap w:val="0"/>
            <w:tcMar>
              <w:top w:w="0" w:type="dxa"/>
              <w:left w:w="108" w:type="dxa"/>
              <w:bottom w:w="0" w:type="dxa"/>
              <w:right w:w="108" w:type="dxa"/>
            </w:tcMar>
            <w:vAlign w:val="center"/>
          </w:tcPr>
          <w:p>
            <w:pPr>
              <w:spacing w:line="360" w:lineRule="auto"/>
              <w:jc w:val="center"/>
              <w:rPr>
                <w:rFonts w:ascii="Times New Roman" w:hAnsi="Times New Roman" w:eastAsia="宋体"/>
                <w:b/>
                <w:bCs/>
                <w:szCs w:val="21"/>
              </w:rPr>
            </w:pPr>
            <w:r>
              <w:rPr>
                <w:rFonts w:ascii="Times New Roman" w:hAnsi="Times New Roman" w:eastAsia="宋体"/>
                <w:b/>
                <w:bCs/>
                <w:szCs w:val="21"/>
              </w:rPr>
              <w:t>夜间</w:t>
            </w:r>
          </w:p>
        </w:tc>
        <w:tc>
          <w:tcPr>
            <w:tcW w:w="847"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c>
          <w:tcPr>
            <w:tcW w:w="782" w:type="dxa"/>
            <w:vMerge w:val="continue"/>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 w:type="dxa"/>
            <w:bottom w:w="0" w:type="dxa"/>
            <w:right w:w="10" w:type="dxa"/>
          </w:tblCellMar>
        </w:tblPrEx>
        <w:trPr>
          <w:jc w:val="center"/>
        </w:trPr>
        <w:tc>
          <w:tcPr>
            <w:tcW w:w="721"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1</w:t>
            </w:r>
          </w:p>
        </w:tc>
        <w:tc>
          <w:tcPr>
            <w:tcW w:w="1373"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厂界噪声</w:t>
            </w:r>
          </w:p>
        </w:tc>
        <w:tc>
          <w:tcPr>
            <w:tcW w:w="3880"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《工业企业厂界环境噪声排放标准》</w:t>
            </w:r>
            <w:r>
              <w:rPr>
                <w:rFonts w:hint="eastAsia" w:ascii="Times New Roman" w:hAnsi="Times New Roman" w:eastAsia="宋体"/>
                <w:szCs w:val="21"/>
              </w:rPr>
              <w:t>（</w:t>
            </w:r>
            <w:r>
              <w:rPr>
                <w:rFonts w:ascii="Times New Roman" w:hAnsi="Times New Roman" w:eastAsia="宋体"/>
                <w:szCs w:val="21"/>
              </w:rPr>
              <w:t>GB12348-2008</w:t>
            </w:r>
            <w:r>
              <w:rPr>
                <w:rFonts w:hint="eastAsia" w:ascii="Times New Roman" w:hAnsi="Times New Roman" w:eastAsia="宋体"/>
                <w:szCs w:val="21"/>
              </w:rPr>
              <w:t>）</w:t>
            </w:r>
            <w:r>
              <w:rPr>
                <w:rFonts w:ascii="Times New Roman" w:hAnsi="Times New Roman" w:eastAsia="宋体"/>
                <w:szCs w:val="21"/>
              </w:rPr>
              <w:t>表1中</w:t>
            </w:r>
            <w:r>
              <w:rPr>
                <w:rFonts w:hint="eastAsia" w:ascii="Times New Roman" w:hAnsi="Times New Roman" w:eastAsia="宋体"/>
                <w:szCs w:val="21"/>
              </w:rPr>
              <w:t>3</w:t>
            </w:r>
            <w:r>
              <w:rPr>
                <w:rFonts w:ascii="Times New Roman" w:hAnsi="Times New Roman" w:eastAsia="宋体"/>
                <w:szCs w:val="21"/>
              </w:rPr>
              <w:t>类排放限值</w:t>
            </w:r>
          </w:p>
        </w:tc>
        <w:tc>
          <w:tcPr>
            <w:tcW w:w="734"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65</w:t>
            </w:r>
          </w:p>
        </w:tc>
        <w:tc>
          <w:tcPr>
            <w:tcW w:w="734"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hint="eastAsia" w:ascii="Times New Roman" w:hAnsi="Times New Roman" w:eastAsia="宋体"/>
                <w:szCs w:val="21"/>
              </w:rPr>
              <w:t>55</w:t>
            </w:r>
          </w:p>
        </w:tc>
        <w:tc>
          <w:tcPr>
            <w:tcW w:w="847"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dB</w:t>
            </w:r>
            <w:r>
              <w:rPr>
                <w:rFonts w:hint="eastAsia" w:ascii="Times New Roman" w:hAnsi="Times New Roman" w:eastAsia="宋体"/>
                <w:szCs w:val="21"/>
              </w:rPr>
              <w:t>（</w:t>
            </w:r>
            <w:r>
              <w:rPr>
                <w:rFonts w:ascii="Times New Roman" w:hAnsi="Times New Roman" w:eastAsia="宋体"/>
                <w:szCs w:val="21"/>
              </w:rPr>
              <w:t>A</w:t>
            </w:r>
            <w:r>
              <w:rPr>
                <w:rFonts w:hint="eastAsia" w:ascii="Times New Roman" w:hAnsi="Times New Roman" w:eastAsia="宋体"/>
                <w:szCs w:val="21"/>
              </w:rPr>
              <w:t>）</w:t>
            </w:r>
          </w:p>
        </w:tc>
        <w:tc>
          <w:tcPr>
            <w:tcW w:w="782" w:type="dxa"/>
            <w:noWrap w:val="0"/>
            <w:tcMar>
              <w:top w:w="0" w:type="dxa"/>
              <w:left w:w="108" w:type="dxa"/>
              <w:bottom w:w="0" w:type="dxa"/>
              <w:right w:w="108" w:type="dxa"/>
            </w:tcMar>
            <w:vAlign w:val="center"/>
          </w:tcPr>
          <w:p>
            <w:pPr>
              <w:spacing w:line="360" w:lineRule="auto"/>
              <w:jc w:val="center"/>
              <w:rPr>
                <w:rFonts w:ascii="Times New Roman" w:hAnsi="Times New Roman" w:eastAsia="宋体"/>
                <w:szCs w:val="21"/>
              </w:rPr>
            </w:pPr>
            <w:r>
              <w:rPr>
                <w:rFonts w:ascii="Times New Roman" w:hAnsi="Times New Roman" w:eastAsia="宋体"/>
                <w:szCs w:val="21"/>
              </w:rPr>
              <w:t>厂界</w:t>
            </w:r>
          </w:p>
        </w:tc>
      </w:tr>
    </w:tbl>
    <w:p>
      <w:pPr>
        <w:pStyle w:val="4"/>
        <w:numPr>
          <w:ilvl w:val="1"/>
          <w:numId w:val="0"/>
        </w:numPr>
        <w:spacing w:before="312" w:beforeLines="100" w:after="0" w:line="360" w:lineRule="auto"/>
        <w:rPr>
          <w:rFonts w:hint="eastAsia" w:ascii="宋体" w:hAnsi="宋体" w:eastAsia="宋体" w:cs="宋体"/>
          <w:b w:val="0"/>
          <w:sz w:val="30"/>
          <w:szCs w:val="30"/>
          <w:lang w:eastAsia="zh-CN"/>
        </w:rPr>
      </w:pPr>
      <w:bookmarkStart w:id="8" w:name="_Toc53598615"/>
      <w:r>
        <w:rPr>
          <w:rFonts w:hint="eastAsia" w:ascii="宋体" w:hAnsi="宋体" w:eastAsia="宋体" w:cs="宋体"/>
          <w:b w:val="0"/>
          <w:sz w:val="30"/>
          <w:szCs w:val="30"/>
          <w:lang w:eastAsia="zh-CN"/>
        </w:rPr>
        <w:t>三、</w:t>
      </w:r>
      <w:r>
        <w:rPr>
          <w:rFonts w:hint="eastAsia" w:ascii="宋体" w:hAnsi="宋体" w:eastAsia="宋体" w:cs="宋体"/>
          <w:b w:val="0"/>
          <w:sz w:val="30"/>
          <w:szCs w:val="30"/>
        </w:rPr>
        <w:t>自行监测内容</w:t>
      </w:r>
      <w:bookmarkEnd w:id="8"/>
      <w:r>
        <w:rPr>
          <w:rFonts w:hint="eastAsia" w:ascii="宋体" w:hAnsi="宋体" w:eastAsia="宋体" w:cs="宋体"/>
          <w:b w:val="0"/>
          <w:sz w:val="30"/>
          <w:szCs w:val="30"/>
          <w:lang w:eastAsia="zh-CN"/>
        </w:rPr>
        <w:t>及要求</w:t>
      </w:r>
    </w:p>
    <w:p>
      <w:pPr>
        <w:pStyle w:val="7"/>
        <w:spacing w:line="360" w:lineRule="auto"/>
        <w:ind w:firstLine="0"/>
        <w:outlineLvl w:val="2"/>
        <w:rPr>
          <w:rFonts w:hint="eastAsia" w:ascii="宋体" w:hAnsi="宋体" w:eastAsia="宋体" w:cs="宋体"/>
          <w:szCs w:val="28"/>
        </w:rPr>
      </w:pPr>
      <w:bookmarkStart w:id="9" w:name="_Toc53598616"/>
      <w:r>
        <w:rPr>
          <w:rFonts w:hint="eastAsia" w:ascii="宋体" w:hAnsi="宋体" w:eastAsia="宋体" w:cs="宋体"/>
          <w:szCs w:val="28"/>
        </w:rPr>
        <w:t>3.1水污染物排放监测</w:t>
      </w:r>
      <w:bookmarkEnd w:id="9"/>
    </w:p>
    <w:p>
      <w:pPr>
        <w:spacing w:line="360" w:lineRule="auto"/>
        <w:ind w:firstLine="480" w:firstLineChars="200"/>
        <w:jc w:val="left"/>
      </w:pPr>
      <w:r>
        <w:rPr>
          <w:rFonts w:ascii="Times New Roman" w:hAnsi="Times New Roman" w:eastAsia="宋体"/>
          <w:kern w:val="0"/>
          <w:sz w:val="24"/>
        </w:rPr>
        <w:t>根据《排污许可证申请与核发技术规范 水处理》（试行）（HJ 978-2018）、《排污单位自行监测技术指南 总则》（HJ 819-2017）及环评文件相关规定，我厂废水监测指标、监测频次及分析方法</w:t>
      </w:r>
      <w:r>
        <w:rPr>
          <w:rFonts w:hint="eastAsia" w:ascii="Times New Roman" w:hAnsi="Times New Roman" w:eastAsia="宋体"/>
          <w:kern w:val="0"/>
          <w:sz w:val="24"/>
        </w:rPr>
        <w:t>见</w:t>
      </w:r>
      <w:r>
        <w:rPr>
          <w:rFonts w:ascii="Times New Roman" w:hAnsi="Times New Roman" w:eastAsia="宋体"/>
          <w:kern w:val="0"/>
          <w:sz w:val="24"/>
        </w:rPr>
        <w:t>表</w:t>
      </w:r>
      <w:r>
        <w:rPr>
          <w:rFonts w:hint="eastAsia" w:ascii="Times New Roman" w:hAnsi="Times New Roman" w:eastAsia="宋体"/>
          <w:kern w:val="0"/>
          <w:sz w:val="24"/>
        </w:rPr>
        <w:t>4。</w:t>
      </w:r>
    </w:p>
    <w:p>
      <w:pPr>
        <w:pStyle w:val="7"/>
        <w:spacing w:line="360" w:lineRule="auto"/>
        <w:ind w:firstLine="0"/>
        <w:outlineLvl w:val="2"/>
        <w:rPr>
          <w:rFonts w:hint="eastAsia" w:ascii="宋体" w:hAnsi="宋体" w:eastAsia="宋体" w:cs="宋体"/>
          <w:szCs w:val="28"/>
        </w:rPr>
      </w:pPr>
      <w:bookmarkStart w:id="10" w:name="_Toc53598617"/>
      <w:r>
        <w:rPr>
          <w:rFonts w:hint="eastAsia" w:ascii="宋体" w:hAnsi="宋体" w:eastAsia="宋体" w:cs="宋体"/>
          <w:szCs w:val="28"/>
        </w:rPr>
        <w:t>3.2无组织废气排放监测</w:t>
      </w:r>
      <w:bookmarkEnd w:id="10"/>
    </w:p>
    <w:p>
      <w:pPr>
        <w:spacing w:line="360" w:lineRule="auto"/>
        <w:ind w:firstLine="480" w:firstLineChars="200"/>
        <w:jc w:val="left"/>
        <w:rPr>
          <w:rFonts w:ascii="Times New Roman" w:hAnsi="Times New Roman" w:eastAsia="宋体"/>
          <w:kern w:val="0"/>
          <w:sz w:val="24"/>
        </w:rPr>
      </w:pPr>
      <w:r>
        <w:rPr>
          <w:rFonts w:ascii="Times New Roman" w:hAnsi="Times New Roman" w:eastAsia="宋体"/>
          <w:kern w:val="0"/>
          <w:sz w:val="24"/>
        </w:rPr>
        <w:t>根据《排污许可证申请与核发技术规范 水处理》（试行）（HJ 978-2018）、《排污单位自行监测技术指南 总则》(HJ 819-2017</w:t>
      </w:r>
      <w:r>
        <w:rPr>
          <w:rFonts w:hint="eastAsia" w:ascii="Times New Roman" w:hAnsi="Times New Roman" w:eastAsia="宋体"/>
          <w:kern w:val="0"/>
          <w:sz w:val="24"/>
        </w:rPr>
        <w:t>）</w:t>
      </w:r>
      <w:r>
        <w:rPr>
          <w:rFonts w:ascii="Times New Roman" w:hAnsi="Times New Roman" w:eastAsia="宋体"/>
          <w:kern w:val="0"/>
          <w:sz w:val="24"/>
        </w:rPr>
        <w:t>及环评文件相关规定，我厂废气监测指标、监测频次及分析方法</w:t>
      </w:r>
      <w:r>
        <w:rPr>
          <w:rFonts w:hint="eastAsia" w:ascii="Times New Roman" w:hAnsi="Times New Roman" w:eastAsia="宋体"/>
          <w:kern w:val="0"/>
          <w:sz w:val="24"/>
        </w:rPr>
        <w:t>见表4。</w:t>
      </w:r>
    </w:p>
    <w:p>
      <w:pPr>
        <w:pStyle w:val="7"/>
        <w:spacing w:line="360" w:lineRule="auto"/>
        <w:ind w:firstLine="0"/>
        <w:outlineLvl w:val="2"/>
        <w:rPr>
          <w:rFonts w:hint="eastAsia" w:ascii="宋体" w:hAnsi="宋体" w:eastAsia="宋体" w:cs="宋体"/>
          <w:szCs w:val="28"/>
        </w:rPr>
      </w:pPr>
      <w:bookmarkStart w:id="11" w:name="_Toc53598618"/>
      <w:r>
        <w:rPr>
          <w:rFonts w:hint="eastAsia" w:ascii="宋体" w:hAnsi="宋体" w:eastAsia="宋体" w:cs="宋体"/>
          <w:szCs w:val="28"/>
        </w:rPr>
        <w:t>3.3厂界噪声排放监测</w:t>
      </w:r>
      <w:bookmarkEnd w:id="11"/>
    </w:p>
    <w:p>
      <w:pPr>
        <w:spacing w:line="360" w:lineRule="auto"/>
        <w:ind w:firstLine="480" w:firstLineChars="200"/>
        <w:jc w:val="left"/>
        <w:rPr>
          <w:rFonts w:ascii="Times New Roman" w:hAnsi="Times New Roman" w:eastAsia="宋体"/>
          <w:kern w:val="0"/>
          <w:sz w:val="24"/>
        </w:rPr>
        <w:sectPr>
          <w:footerReference r:id="rId7" w:type="first"/>
          <w:footerReference r:id="rId6" w:type="default"/>
          <w:pgSz w:w="11906" w:h="16838"/>
          <w:pgMar w:top="1440" w:right="1800" w:bottom="1440" w:left="1800" w:header="851" w:footer="992" w:gutter="0"/>
          <w:pgNumType w:start="1"/>
          <w:cols w:space="720" w:num="1"/>
          <w:titlePg/>
          <w:docGrid w:type="lines" w:linePitch="312" w:charSpace="0"/>
        </w:sectPr>
      </w:pPr>
      <w:r>
        <w:rPr>
          <w:rFonts w:ascii="Times New Roman" w:hAnsi="Times New Roman" w:eastAsia="宋体"/>
          <w:kern w:val="0"/>
          <w:sz w:val="24"/>
        </w:rPr>
        <w:t>根据《排污许可证申请与核发技术规范 水处理》（试行）（HJ 978-2018）、《排污单位自行监测技术指南 总则》(HJ 819-2017</w:t>
      </w:r>
      <w:r>
        <w:rPr>
          <w:rFonts w:hint="eastAsia" w:ascii="Times New Roman" w:hAnsi="Times New Roman" w:eastAsia="宋体"/>
          <w:kern w:val="0"/>
          <w:sz w:val="24"/>
        </w:rPr>
        <w:t>）</w:t>
      </w:r>
      <w:r>
        <w:rPr>
          <w:rFonts w:ascii="Times New Roman" w:hAnsi="Times New Roman" w:eastAsia="宋体"/>
          <w:kern w:val="0"/>
          <w:sz w:val="24"/>
        </w:rPr>
        <w:t>及环评文件相关规定，我厂厂界噪声监测指标、监测频次及分析方法</w:t>
      </w:r>
      <w:r>
        <w:rPr>
          <w:rFonts w:hint="eastAsia" w:ascii="Times New Roman" w:hAnsi="Times New Roman" w:eastAsia="宋体"/>
          <w:kern w:val="0"/>
          <w:sz w:val="24"/>
        </w:rPr>
        <w:t>见</w:t>
      </w:r>
      <w:r>
        <w:rPr>
          <w:rFonts w:ascii="Times New Roman" w:hAnsi="Times New Roman" w:eastAsia="宋体"/>
          <w:kern w:val="0"/>
          <w:sz w:val="24"/>
        </w:rPr>
        <w:t>表</w:t>
      </w:r>
      <w:r>
        <w:rPr>
          <w:rFonts w:hint="eastAsia" w:ascii="Times New Roman" w:hAnsi="Times New Roman" w:eastAsia="宋体"/>
          <w:kern w:val="0"/>
          <w:sz w:val="24"/>
        </w:rPr>
        <w:t>4。</w:t>
      </w:r>
    </w:p>
    <w:p>
      <w:pPr>
        <w:spacing w:before="312" w:beforeLines="100" w:line="360" w:lineRule="auto"/>
        <w:jc w:val="center"/>
        <w:rPr>
          <w:rFonts w:ascii="Times New Roman" w:hAnsi="Times New Roman" w:eastAsia="宋体"/>
          <w:b/>
          <w:bCs/>
          <w:szCs w:val="21"/>
        </w:rPr>
      </w:pPr>
      <w:r>
        <w:rPr>
          <w:rFonts w:ascii="Times New Roman" w:hAnsi="Times New Roman" w:eastAsia="宋体"/>
          <w:b/>
          <w:bCs/>
          <w:szCs w:val="21"/>
        </w:rPr>
        <w:t>表</w:t>
      </w:r>
      <w:r>
        <w:rPr>
          <w:rFonts w:hint="eastAsia" w:ascii="Times New Roman" w:hAnsi="Times New Roman" w:eastAsia="宋体"/>
          <w:b/>
          <w:bCs/>
          <w:szCs w:val="21"/>
        </w:rPr>
        <w:t>4</w:t>
      </w:r>
      <w:r>
        <w:rPr>
          <w:rFonts w:ascii="Times New Roman" w:hAnsi="Times New Roman" w:eastAsia="宋体"/>
          <w:b/>
          <w:bCs/>
          <w:szCs w:val="21"/>
        </w:rPr>
        <w:t>自行监测内容</w:t>
      </w:r>
    </w:p>
    <w:p>
      <w:pPr>
        <w:rPr>
          <w:rFonts w:hint="eastAsia" w:eastAsia="华文仿宋"/>
          <w:b/>
          <w:color w:val="000000"/>
          <w:sz w:val="32"/>
          <w:szCs w:val="32"/>
        </w:rPr>
      </w:pPr>
    </w:p>
    <w:tbl>
      <w:tblPr>
        <w:tblStyle w:val="10"/>
        <w:tblW w:w="1487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661"/>
        <w:gridCol w:w="718"/>
        <w:gridCol w:w="803"/>
        <w:gridCol w:w="803"/>
        <w:gridCol w:w="804"/>
        <w:gridCol w:w="1146"/>
        <w:gridCol w:w="850"/>
        <w:gridCol w:w="709"/>
        <w:gridCol w:w="1053"/>
        <w:gridCol w:w="1134"/>
        <w:gridCol w:w="1276"/>
        <w:gridCol w:w="1134"/>
        <w:gridCol w:w="992"/>
        <w:gridCol w:w="1701"/>
        <w:gridCol w:w="1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48" w:hRule="atLeast"/>
          <w:tblHeader/>
          <w:jc w:val="center"/>
        </w:trPr>
        <w:tc>
          <w:tcPr>
            <w:tcW w:w="661" w:type="dxa"/>
            <w:noWrap w:val="0"/>
            <w:vAlign w:val="center"/>
          </w:tcPr>
          <w:p>
            <w:pPr>
              <w:pStyle w:val="16"/>
              <w:adjustRightInd w:val="0"/>
              <w:snapToGrid w:val="0"/>
              <w:jc w:val="center"/>
              <w:rPr>
                <w:rFonts w:ascii="黑体" w:hAnsi="黑体" w:eastAsia="黑体"/>
              </w:rPr>
            </w:pPr>
            <w:r>
              <w:rPr>
                <w:rFonts w:ascii="黑体" w:hAnsi="黑体" w:eastAsia="黑体"/>
              </w:rPr>
              <w:t>序号</w:t>
            </w:r>
          </w:p>
        </w:tc>
        <w:tc>
          <w:tcPr>
            <w:tcW w:w="718" w:type="dxa"/>
            <w:noWrap w:val="0"/>
            <w:vAlign w:val="center"/>
          </w:tcPr>
          <w:p>
            <w:pPr>
              <w:pStyle w:val="16"/>
              <w:adjustRightInd w:val="0"/>
              <w:snapToGrid w:val="0"/>
              <w:jc w:val="center"/>
              <w:rPr>
                <w:rFonts w:ascii="黑体" w:hAnsi="黑体" w:eastAsia="黑体"/>
              </w:rPr>
            </w:pPr>
            <w:r>
              <w:rPr>
                <w:rFonts w:ascii="黑体" w:hAnsi="黑体" w:eastAsia="黑体"/>
              </w:rPr>
              <w:t>污染源类别</w:t>
            </w:r>
            <w:r>
              <w:rPr>
                <w:rFonts w:hint="eastAsia" w:ascii="黑体" w:hAnsi="黑体" w:eastAsia="黑体"/>
              </w:rPr>
              <w:t>/监测类别</w:t>
            </w:r>
          </w:p>
        </w:tc>
        <w:tc>
          <w:tcPr>
            <w:tcW w:w="803" w:type="dxa"/>
            <w:noWrap w:val="0"/>
            <w:vAlign w:val="center"/>
          </w:tcPr>
          <w:p>
            <w:pPr>
              <w:pStyle w:val="16"/>
              <w:adjustRightInd w:val="0"/>
              <w:snapToGrid w:val="0"/>
              <w:jc w:val="center"/>
              <w:rPr>
                <w:rFonts w:hint="eastAsia" w:ascii="黑体" w:hAnsi="黑体" w:eastAsia="黑体"/>
              </w:rPr>
            </w:pPr>
            <w:r>
              <w:rPr>
                <w:rFonts w:ascii="黑体" w:hAnsi="黑体" w:eastAsia="黑体"/>
              </w:rPr>
              <w:t>排放口编号</w:t>
            </w:r>
            <w:r>
              <w:rPr>
                <w:rFonts w:hint="eastAsia" w:ascii="黑体" w:hAnsi="黑体" w:eastAsia="黑体"/>
              </w:rPr>
              <w:t>/监测点位</w:t>
            </w:r>
          </w:p>
        </w:tc>
        <w:tc>
          <w:tcPr>
            <w:tcW w:w="803" w:type="dxa"/>
            <w:noWrap w:val="0"/>
            <w:vAlign w:val="center"/>
          </w:tcPr>
          <w:p>
            <w:pPr>
              <w:pStyle w:val="16"/>
              <w:adjustRightInd w:val="0"/>
              <w:snapToGrid w:val="0"/>
              <w:jc w:val="center"/>
              <w:rPr>
                <w:rFonts w:ascii="黑体" w:hAnsi="黑体" w:eastAsia="黑体"/>
              </w:rPr>
            </w:pPr>
            <w:r>
              <w:rPr>
                <w:rFonts w:hint="eastAsia" w:ascii="黑体" w:hAnsi="黑体" w:eastAsia="黑体"/>
              </w:rPr>
              <w:t>排放口名称/监测点位名称</w:t>
            </w:r>
          </w:p>
        </w:tc>
        <w:tc>
          <w:tcPr>
            <w:tcW w:w="804" w:type="dxa"/>
            <w:noWrap w:val="0"/>
            <w:vAlign w:val="center"/>
          </w:tcPr>
          <w:p>
            <w:pPr>
              <w:pStyle w:val="16"/>
              <w:adjustRightInd w:val="0"/>
              <w:snapToGrid w:val="0"/>
              <w:jc w:val="center"/>
              <w:rPr>
                <w:rFonts w:ascii="黑体" w:hAnsi="黑体" w:eastAsia="黑体"/>
              </w:rPr>
            </w:pPr>
            <w:r>
              <w:rPr>
                <w:rFonts w:hint="eastAsia" w:ascii="黑体" w:hAnsi="黑体" w:eastAsia="黑体"/>
              </w:rPr>
              <w:t>监测内容（1）</w:t>
            </w:r>
          </w:p>
        </w:tc>
        <w:tc>
          <w:tcPr>
            <w:tcW w:w="1146" w:type="dxa"/>
            <w:noWrap w:val="0"/>
            <w:vAlign w:val="center"/>
          </w:tcPr>
          <w:p>
            <w:pPr>
              <w:pStyle w:val="16"/>
              <w:adjustRightInd w:val="0"/>
              <w:snapToGrid w:val="0"/>
              <w:jc w:val="center"/>
              <w:rPr>
                <w:rFonts w:ascii="黑体" w:hAnsi="黑体" w:eastAsia="黑体"/>
              </w:rPr>
            </w:pPr>
            <w:r>
              <w:rPr>
                <w:rFonts w:ascii="黑体" w:hAnsi="黑体" w:eastAsia="黑体"/>
              </w:rPr>
              <w:t>污染物名称</w:t>
            </w:r>
          </w:p>
        </w:tc>
        <w:tc>
          <w:tcPr>
            <w:tcW w:w="850" w:type="dxa"/>
            <w:noWrap w:val="0"/>
            <w:vAlign w:val="center"/>
          </w:tcPr>
          <w:p>
            <w:pPr>
              <w:pStyle w:val="16"/>
              <w:adjustRightInd w:val="0"/>
              <w:snapToGrid w:val="0"/>
              <w:jc w:val="center"/>
              <w:rPr>
                <w:rFonts w:ascii="黑体" w:hAnsi="黑体" w:eastAsia="黑体"/>
              </w:rPr>
            </w:pPr>
            <w:r>
              <w:rPr>
                <w:rFonts w:ascii="黑体" w:hAnsi="黑体" w:eastAsia="黑体"/>
              </w:rPr>
              <w:t>监测设施</w:t>
            </w:r>
          </w:p>
        </w:tc>
        <w:tc>
          <w:tcPr>
            <w:tcW w:w="709" w:type="dxa"/>
            <w:noWrap w:val="0"/>
            <w:vAlign w:val="center"/>
          </w:tcPr>
          <w:p>
            <w:pPr>
              <w:pStyle w:val="16"/>
              <w:adjustRightInd w:val="0"/>
              <w:snapToGrid w:val="0"/>
              <w:jc w:val="center"/>
              <w:rPr>
                <w:rFonts w:ascii="黑体" w:hAnsi="黑体" w:eastAsia="黑体"/>
              </w:rPr>
            </w:pPr>
            <w:r>
              <w:rPr>
                <w:rFonts w:ascii="黑体" w:hAnsi="黑体" w:eastAsia="黑体"/>
              </w:rPr>
              <w:t>自动监测是否联网</w:t>
            </w:r>
          </w:p>
        </w:tc>
        <w:tc>
          <w:tcPr>
            <w:tcW w:w="1053" w:type="dxa"/>
            <w:noWrap w:val="0"/>
            <w:vAlign w:val="center"/>
          </w:tcPr>
          <w:p>
            <w:pPr>
              <w:pStyle w:val="16"/>
              <w:adjustRightInd w:val="0"/>
              <w:snapToGrid w:val="0"/>
              <w:jc w:val="center"/>
              <w:rPr>
                <w:rFonts w:hint="eastAsia" w:ascii="黑体" w:hAnsi="黑体" w:eastAsia="黑体"/>
              </w:rPr>
            </w:pPr>
            <w:r>
              <w:rPr>
                <w:rFonts w:hint="eastAsia" w:ascii="黑体" w:hAnsi="黑体" w:eastAsia="黑体"/>
              </w:rPr>
              <w:t>自动监测仪器名称</w:t>
            </w:r>
          </w:p>
        </w:tc>
        <w:tc>
          <w:tcPr>
            <w:tcW w:w="1134" w:type="dxa"/>
            <w:noWrap w:val="0"/>
            <w:vAlign w:val="center"/>
          </w:tcPr>
          <w:p>
            <w:pPr>
              <w:pStyle w:val="16"/>
              <w:adjustRightInd w:val="0"/>
              <w:snapToGrid w:val="0"/>
              <w:jc w:val="center"/>
              <w:rPr>
                <w:rFonts w:ascii="黑体" w:hAnsi="黑体" w:eastAsia="黑体"/>
              </w:rPr>
            </w:pPr>
            <w:r>
              <w:rPr>
                <w:rFonts w:hint="eastAsia" w:ascii="黑体" w:hAnsi="黑体" w:eastAsia="黑体"/>
              </w:rPr>
              <w:t>自动监测设施安装位置</w:t>
            </w:r>
          </w:p>
        </w:tc>
        <w:tc>
          <w:tcPr>
            <w:tcW w:w="1276" w:type="dxa"/>
            <w:noWrap w:val="0"/>
            <w:vAlign w:val="center"/>
          </w:tcPr>
          <w:p>
            <w:pPr>
              <w:pStyle w:val="16"/>
              <w:adjustRightInd w:val="0"/>
              <w:snapToGrid w:val="0"/>
              <w:jc w:val="center"/>
              <w:rPr>
                <w:rFonts w:ascii="黑体" w:hAnsi="黑体" w:eastAsia="黑体"/>
              </w:rPr>
            </w:pPr>
            <w:r>
              <w:rPr>
                <w:rFonts w:ascii="黑体" w:hAnsi="黑体" w:eastAsia="黑体"/>
              </w:rPr>
              <w:t>自动监测设施是否符合安装</w:t>
            </w:r>
            <w:r>
              <w:rPr>
                <w:rFonts w:hint="eastAsia" w:ascii="黑体" w:hAnsi="黑体" w:eastAsia="黑体"/>
              </w:rPr>
              <w:t>、</w:t>
            </w:r>
            <w:r>
              <w:rPr>
                <w:rFonts w:ascii="黑体" w:hAnsi="黑体" w:eastAsia="黑体"/>
              </w:rPr>
              <w:t>运行</w:t>
            </w:r>
            <w:r>
              <w:rPr>
                <w:rFonts w:hint="eastAsia" w:ascii="黑体" w:hAnsi="黑体" w:eastAsia="黑体"/>
              </w:rPr>
              <w:t>、</w:t>
            </w:r>
            <w:r>
              <w:rPr>
                <w:rFonts w:ascii="黑体" w:hAnsi="黑体" w:eastAsia="黑体"/>
              </w:rPr>
              <w:t>维护等管理要求</w:t>
            </w:r>
          </w:p>
        </w:tc>
        <w:tc>
          <w:tcPr>
            <w:tcW w:w="1134" w:type="dxa"/>
            <w:noWrap w:val="0"/>
            <w:vAlign w:val="center"/>
          </w:tcPr>
          <w:p>
            <w:pPr>
              <w:pStyle w:val="16"/>
              <w:adjustRightInd w:val="0"/>
              <w:snapToGrid w:val="0"/>
              <w:jc w:val="center"/>
              <w:rPr>
                <w:rFonts w:ascii="黑体" w:hAnsi="黑体" w:eastAsia="黑体"/>
                <w:highlight w:val="yellow"/>
              </w:rPr>
            </w:pPr>
            <w:r>
              <w:rPr>
                <w:rFonts w:hint="eastAsia" w:ascii="黑体" w:hAnsi="黑体" w:eastAsia="黑体"/>
              </w:rPr>
              <w:t>手工</w:t>
            </w:r>
            <w:r>
              <w:rPr>
                <w:rFonts w:ascii="黑体" w:hAnsi="黑体" w:eastAsia="黑体"/>
              </w:rPr>
              <w:t>监测采样方法及个数（</w:t>
            </w:r>
            <w:r>
              <w:rPr>
                <w:rFonts w:hint="eastAsia" w:ascii="黑体" w:hAnsi="黑体" w:eastAsia="黑体"/>
              </w:rPr>
              <w:t>2</w:t>
            </w:r>
            <w:r>
              <w:rPr>
                <w:rFonts w:ascii="黑体" w:hAnsi="黑体" w:eastAsia="黑体"/>
              </w:rPr>
              <w:t>）</w:t>
            </w:r>
          </w:p>
        </w:tc>
        <w:tc>
          <w:tcPr>
            <w:tcW w:w="992" w:type="dxa"/>
            <w:noWrap w:val="0"/>
            <w:vAlign w:val="center"/>
          </w:tcPr>
          <w:p>
            <w:pPr>
              <w:pStyle w:val="16"/>
              <w:adjustRightInd w:val="0"/>
              <w:snapToGrid w:val="0"/>
              <w:jc w:val="center"/>
              <w:rPr>
                <w:rFonts w:ascii="黑体" w:hAnsi="黑体" w:eastAsia="黑体"/>
              </w:rPr>
            </w:pPr>
            <w:r>
              <w:rPr>
                <w:rFonts w:hint="eastAsia" w:ascii="黑体" w:hAnsi="黑体" w:eastAsia="黑体"/>
              </w:rPr>
              <w:t>手工</w:t>
            </w:r>
            <w:r>
              <w:rPr>
                <w:rFonts w:ascii="黑体" w:hAnsi="黑体" w:eastAsia="黑体"/>
              </w:rPr>
              <w:t>监测频次（</w:t>
            </w:r>
            <w:r>
              <w:rPr>
                <w:rFonts w:hint="eastAsia" w:ascii="黑体" w:hAnsi="黑体" w:eastAsia="黑体"/>
              </w:rPr>
              <w:t>3</w:t>
            </w:r>
            <w:r>
              <w:rPr>
                <w:rFonts w:ascii="黑体" w:hAnsi="黑体" w:eastAsia="黑体"/>
              </w:rPr>
              <w:t>）</w:t>
            </w:r>
          </w:p>
        </w:tc>
        <w:tc>
          <w:tcPr>
            <w:tcW w:w="1701" w:type="dxa"/>
            <w:noWrap w:val="0"/>
            <w:vAlign w:val="center"/>
          </w:tcPr>
          <w:p>
            <w:pPr>
              <w:pStyle w:val="16"/>
              <w:adjustRightInd w:val="0"/>
              <w:snapToGrid w:val="0"/>
              <w:jc w:val="center"/>
              <w:rPr>
                <w:rFonts w:ascii="黑体" w:hAnsi="黑体" w:eastAsia="黑体"/>
              </w:rPr>
            </w:pPr>
            <w:r>
              <w:rPr>
                <w:rFonts w:hint="eastAsia" w:ascii="黑体" w:hAnsi="黑体" w:eastAsia="黑体"/>
              </w:rPr>
              <w:t>手工测定</w:t>
            </w:r>
            <w:r>
              <w:rPr>
                <w:rFonts w:ascii="黑体" w:hAnsi="黑体" w:eastAsia="黑体"/>
              </w:rPr>
              <w:t>方法（</w:t>
            </w:r>
            <w:r>
              <w:rPr>
                <w:rFonts w:hint="eastAsia" w:ascii="黑体" w:hAnsi="黑体" w:eastAsia="黑体"/>
              </w:rPr>
              <w:t>4</w:t>
            </w:r>
            <w:r>
              <w:rPr>
                <w:rFonts w:ascii="黑体" w:hAnsi="黑体" w:eastAsia="黑体"/>
              </w:rPr>
              <w:t>）</w:t>
            </w:r>
          </w:p>
        </w:tc>
        <w:tc>
          <w:tcPr>
            <w:tcW w:w="1092" w:type="dxa"/>
            <w:noWrap w:val="0"/>
            <w:vAlign w:val="center"/>
          </w:tcPr>
          <w:p>
            <w:pPr>
              <w:pStyle w:val="16"/>
              <w:adjustRightInd w:val="0"/>
              <w:snapToGrid w:val="0"/>
              <w:jc w:val="center"/>
              <w:rPr>
                <w:rFonts w:ascii="黑体" w:hAnsi="黑体" w:eastAsia="黑体"/>
              </w:rPr>
            </w:pPr>
            <w:r>
              <w:rPr>
                <w:rFonts w:ascii="黑体" w:hAnsi="黑体" w:eastAsia="黑体"/>
              </w:rPr>
              <w:t>其他信息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4876" w:type="dxa"/>
            <w:gridSpan w:val="15"/>
            <w:noWrap w:val="0"/>
            <w:vAlign w:val="center"/>
          </w:tcPr>
          <w:tbl>
            <w:tblPr>
              <w:tblStyle w:val="10"/>
              <w:tblW w:w="5000" w:type="pct"/>
              <w:tblInd w:w="0" w:type="dxa"/>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18"/>
              <w:gridCol w:w="806"/>
              <w:gridCol w:w="795"/>
              <w:gridCol w:w="806"/>
              <w:gridCol w:w="1148"/>
              <w:gridCol w:w="845"/>
              <w:gridCol w:w="712"/>
              <w:gridCol w:w="1047"/>
              <w:gridCol w:w="1143"/>
              <w:gridCol w:w="1271"/>
              <w:gridCol w:w="1131"/>
              <w:gridCol w:w="997"/>
              <w:gridCol w:w="1708"/>
              <w:gridCol w:w="1070"/>
            </w:tblGrid>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废气</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厂界</w:t>
                  </w:r>
                </w:p>
              </w:tc>
              <w:tc>
                <w:tcPr>
                  <w:tcW w:w="795" w:type="dxa"/>
                  <w:noWrap w:val="0"/>
                  <w:vAlign w:val="center"/>
                </w:tcPr>
                <w:p>
                  <w:pPr>
                    <w:pStyle w:val="16"/>
                    <w:adjustRightInd w:val="0"/>
                    <w:snapToGrid w:val="0"/>
                    <w:jc w:val="center"/>
                    <w:rPr>
                      <w:rFonts w:hint="eastAsia" w:ascii="宋体" w:hAnsi="宋体"/>
                    </w:rPr>
                  </w:pP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风速,风向</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臭气浓度</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非连续采样 至少4个</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1次/半年</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空气质量 恶臭的测定 三点比较式臭袋法 GB T 14675-1993</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废气</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厂界</w:t>
                  </w:r>
                </w:p>
              </w:tc>
              <w:tc>
                <w:tcPr>
                  <w:tcW w:w="795" w:type="dxa"/>
                  <w:noWrap w:val="0"/>
                  <w:vAlign w:val="center"/>
                </w:tcPr>
                <w:p>
                  <w:pPr>
                    <w:pStyle w:val="16"/>
                    <w:adjustRightInd w:val="0"/>
                    <w:snapToGrid w:val="0"/>
                    <w:jc w:val="center"/>
                    <w:rPr>
                      <w:rFonts w:hint="eastAsia" w:ascii="宋体" w:hAnsi="宋体"/>
                    </w:rPr>
                  </w:pP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风速,风向</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氨（氨气）</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非连续采样 至少4个</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1次/半年</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环境空气 氨的测定 次氯酸钠-水杨酸分光光度法 HJ 534-2009</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3</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废气</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厂界</w:t>
                  </w:r>
                </w:p>
              </w:tc>
              <w:tc>
                <w:tcPr>
                  <w:tcW w:w="795" w:type="dxa"/>
                  <w:noWrap w:val="0"/>
                  <w:vAlign w:val="center"/>
                </w:tcPr>
                <w:p>
                  <w:pPr>
                    <w:pStyle w:val="16"/>
                    <w:adjustRightInd w:val="0"/>
                    <w:snapToGrid w:val="0"/>
                    <w:jc w:val="center"/>
                    <w:rPr>
                      <w:rFonts w:hint="eastAsia" w:ascii="宋体" w:hAnsi="宋体"/>
                    </w:rPr>
                  </w:pP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风速,风向</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硫化氢</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非连续采样 至少4个</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1次/半年</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空气质量 硫化氢 甲硫醇 甲硫醚 二甲二硫的测定气相色谱法 GB/T14678-1993</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4</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废气</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厂区体积浓度最高处</w:t>
                  </w:r>
                </w:p>
              </w:tc>
              <w:tc>
                <w:tcPr>
                  <w:tcW w:w="795" w:type="dxa"/>
                  <w:noWrap w:val="0"/>
                  <w:vAlign w:val="center"/>
                </w:tcPr>
                <w:p>
                  <w:pPr>
                    <w:pStyle w:val="16"/>
                    <w:adjustRightInd w:val="0"/>
                    <w:snapToGrid w:val="0"/>
                    <w:jc w:val="center"/>
                    <w:rPr>
                      <w:rFonts w:hint="eastAsia" w:ascii="宋体" w:hAnsi="宋体"/>
                    </w:rPr>
                  </w:pP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风速,风向</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甲烷</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非连续采样 至少4个</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1次/年</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气相色谱法</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5</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pH值</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自动</w:t>
                  </w:r>
                </w:p>
              </w:tc>
              <w:tc>
                <w:tcPr>
                  <w:tcW w:w="712"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047" w:type="dxa"/>
                  <w:noWrap w:val="0"/>
                  <w:vAlign w:val="center"/>
                </w:tcPr>
                <w:p>
                  <w:pPr>
                    <w:pStyle w:val="16"/>
                    <w:adjustRightInd w:val="0"/>
                    <w:snapToGrid w:val="0"/>
                    <w:jc w:val="center"/>
                    <w:rPr>
                      <w:rFonts w:hint="eastAsia" w:ascii="宋体" w:hAnsi="宋体"/>
                    </w:rPr>
                  </w:pPr>
                  <w:r>
                    <w:rPr>
                      <w:rFonts w:hint="eastAsia" w:ascii="宋体" w:hAnsi="宋体"/>
                    </w:rPr>
                    <w:t>PH自动检测仪</w:t>
                  </w:r>
                </w:p>
              </w:tc>
              <w:tc>
                <w:tcPr>
                  <w:tcW w:w="1143" w:type="dxa"/>
                  <w:noWrap w:val="0"/>
                  <w:vAlign w:val="center"/>
                </w:tcPr>
                <w:p>
                  <w:pPr>
                    <w:pStyle w:val="16"/>
                    <w:adjustRightInd w:val="0"/>
                    <w:snapToGrid w:val="0"/>
                    <w:jc w:val="center"/>
                    <w:rPr>
                      <w:rFonts w:hint="eastAsia" w:ascii="宋体" w:hAnsi="宋体"/>
                    </w:rPr>
                  </w:pPr>
                  <w:r>
                    <w:rPr>
                      <w:rFonts w:hint="eastAsia" w:ascii="宋体" w:hAnsi="宋体"/>
                    </w:rPr>
                    <w:t>在线监测室</w:t>
                  </w:r>
                </w:p>
              </w:tc>
              <w:tc>
                <w:tcPr>
                  <w:tcW w:w="1271"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4次/日，间隔时间不得超过6h</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pH值的测定 玻璃电极法 GB 6920-1986</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在线监测（进出水）故障时，监测频次依据文件《污染源自动监控设施运行管理办法》执行，第十五条污染源自动监控设施的维修、更换，必须在48小时内恢复自动监控设施正常运行，设施不能正常运行期间，要采取人工采样监测，数据报送每天不少于4次，间隔时间不得超过6小时</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6</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色度</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色度的测定GB 11903-89</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7</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悬浮物</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悬浮物的测定 重量法 GB 11901-1989</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8</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五日生化需氧量</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五日生化需氧量（BOD5）的测定 稀释与接种法 HJ505-2009</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9</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化学需氧量</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自动</w:t>
                  </w:r>
                </w:p>
              </w:tc>
              <w:tc>
                <w:tcPr>
                  <w:tcW w:w="712"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047" w:type="dxa"/>
                  <w:noWrap w:val="0"/>
                  <w:vAlign w:val="center"/>
                </w:tcPr>
                <w:p>
                  <w:pPr>
                    <w:pStyle w:val="16"/>
                    <w:adjustRightInd w:val="0"/>
                    <w:snapToGrid w:val="0"/>
                    <w:jc w:val="center"/>
                    <w:rPr>
                      <w:rFonts w:hint="eastAsia" w:ascii="宋体" w:hAnsi="宋体"/>
                    </w:rPr>
                  </w:pPr>
                  <w:r>
                    <w:rPr>
                      <w:rFonts w:hint="eastAsia" w:ascii="宋体" w:hAnsi="宋体"/>
                    </w:rPr>
                    <w:t>COD在线监测仪</w:t>
                  </w:r>
                </w:p>
              </w:tc>
              <w:tc>
                <w:tcPr>
                  <w:tcW w:w="1143" w:type="dxa"/>
                  <w:noWrap w:val="0"/>
                  <w:vAlign w:val="center"/>
                </w:tcPr>
                <w:p>
                  <w:pPr>
                    <w:pStyle w:val="16"/>
                    <w:adjustRightInd w:val="0"/>
                    <w:snapToGrid w:val="0"/>
                    <w:jc w:val="center"/>
                    <w:rPr>
                      <w:rFonts w:hint="eastAsia" w:ascii="宋体" w:hAnsi="宋体"/>
                    </w:rPr>
                  </w:pPr>
                  <w:r>
                    <w:rPr>
                      <w:rFonts w:hint="eastAsia" w:ascii="宋体" w:hAnsi="宋体"/>
                    </w:rPr>
                    <w:t>在线监测室</w:t>
                  </w:r>
                </w:p>
              </w:tc>
              <w:tc>
                <w:tcPr>
                  <w:tcW w:w="1271"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4次/日，间隔时间不得超过6h</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化学需氧量的测定 重铬酸盐法 HJ 828-2017</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在线监测（进出水）故障时，监测频次依据文件《污染源自动监控设施运行管理办法》执行，第十五条污染源自动监控设施的维修、更换，必须在48小时内恢复自动监控设施正常运行，设施不能正常运行期间，要采取人工采样监测，数据报送每天不少于4次，间隔时间不得超过6小时</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10</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粪大肠菌群</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多管发酵法和滤膜法（试行）HJ/T347-2007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11</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阴离子表面活性剂</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阴离子表面活性剂的测定 亚甲蓝分光光度法GB 7494-87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12</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总汞</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总汞的测定 冷原子吸收分光光度法HJ 597-2011</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13</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烷基汞</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气相色谱法GB/T14204-93</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14</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总镉</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铜、锌、铅、镉的测定 原子吸收分光光度法GB 7475-87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15</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总铬</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总铬的测定 高锰酸钾氧化-二苯碳酰二肼分光光度法 GB/T 7466-1987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16</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六价铬</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六价铬的测定 二苯碳酰二肼分光光度法GB 7467-87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17</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总砷</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总砷的测定 二乙基二硫代氨基甲酸银分光光度法GB 7485-87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18</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总铅</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1次/月</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铜、锌、铅、镉的测定 原子吸收分光光度法GB 7475-87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19</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总铜</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铜、锌、铅、镉的测定 原子吸收分光光度法GB 7475-87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20</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总锌</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铜、锌、铅、镉的测定 原子吸收分光光度法GB 7475-87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21</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总铁</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铁、锰的测定 火焰原子吸收分光光度法GB 11911-89</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22</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总氮（以N计）</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自动</w:t>
                  </w:r>
                </w:p>
              </w:tc>
              <w:tc>
                <w:tcPr>
                  <w:tcW w:w="712"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047" w:type="dxa"/>
                  <w:noWrap w:val="0"/>
                  <w:vAlign w:val="center"/>
                </w:tcPr>
                <w:p>
                  <w:pPr>
                    <w:pStyle w:val="16"/>
                    <w:adjustRightInd w:val="0"/>
                    <w:snapToGrid w:val="0"/>
                    <w:jc w:val="center"/>
                    <w:rPr>
                      <w:rFonts w:hint="eastAsia" w:ascii="宋体" w:hAnsi="宋体"/>
                    </w:rPr>
                  </w:pPr>
                  <w:r>
                    <w:rPr>
                      <w:rFonts w:hint="eastAsia" w:ascii="宋体" w:hAnsi="宋体"/>
                    </w:rPr>
                    <w:t>总氮在线监测仪</w:t>
                  </w:r>
                </w:p>
              </w:tc>
              <w:tc>
                <w:tcPr>
                  <w:tcW w:w="1143" w:type="dxa"/>
                  <w:noWrap w:val="0"/>
                  <w:vAlign w:val="center"/>
                </w:tcPr>
                <w:p>
                  <w:pPr>
                    <w:pStyle w:val="16"/>
                    <w:adjustRightInd w:val="0"/>
                    <w:snapToGrid w:val="0"/>
                    <w:jc w:val="center"/>
                    <w:rPr>
                      <w:rFonts w:hint="eastAsia" w:ascii="宋体" w:hAnsi="宋体"/>
                    </w:rPr>
                  </w:pPr>
                  <w:r>
                    <w:rPr>
                      <w:rFonts w:hint="eastAsia" w:ascii="宋体" w:hAnsi="宋体"/>
                    </w:rPr>
                    <w:t>在线监测室</w:t>
                  </w:r>
                </w:p>
              </w:tc>
              <w:tc>
                <w:tcPr>
                  <w:tcW w:w="1271"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1次/日</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总氮的测定 碱性过硫酸钾消解紫外分光光度法 HJ 636-2012</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在线监测（进出水）故障时，总氮自动检测规范发布实施前，按日监测</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23</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氨氮（NH3-N）</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自动</w:t>
                  </w:r>
                </w:p>
              </w:tc>
              <w:tc>
                <w:tcPr>
                  <w:tcW w:w="712"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047" w:type="dxa"/>
                  <w:noWrap w:val="0"/>
                  <w:vAlign w:val="center"/>
                </w:tcPr>
                <w:p>
                  <w:pPr>
                    <w:pStyle w:val="16"/>
                    <w:adjustRightInd w:val="0"/>
                    <w:snapToGrid w:val="0"/>
                    <w:jc w:val="center"/>
                    <w:rPr>
                      <w:rFonts w:hint="eastAsia" w:ascii="宋体" w:hAnsi="宋体"/>
                    </w:rPr>
                  </w:pPr>
                  <w:r>
                    <w:rPr>
                      <w:rFonts w:hint="eastAsia" w:ascii="宋体" w:hAnsi="宋体"/>
                    </w:rPr>
                    <w:t>氨氮在线监测仪</w:t>
                  </w:r>
                </w:p>
              </w:tc>
              <w:tc>
                <w:tcPr>
                  <w:tcW w:w="1143" w:type="dxa"/>
                  <w:noWrap w:val="0"/>
                  <w:vAlign w:val="center"/>
                </w:tcPr>
                <w:p>
                  <w:pPr>
                    <w:pStyle w:val="16"/>
                    <w:adjustRightInd w:val="0"/>
                    <w:snapToGrid w:val="0"/>
                    <w:jc w:val="center"/>
                    <w:rPr>
                      <w:rFonts w:hint="eastAsia" w:ascii="宋体" w:hAnsi="宋体"/>
                    </w:rPr>
                  </w:pPr>
                  <w:r>
                    <w:rPr>
                      <w:rFonts w:hint="eastAsia" w:ascii="宋体" w:hAnsi="宋体"/>
                    </w:rPr>
                    <w:t>在线监测室</w:t>
                  </w:r>
                </w:p>
              </w:tc>
              <w:tc>
                <w:tcPr>
                  <w:tcW w:w="1271"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4次/日，间隔时间不得超过6h</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氨氮的测定 蒸馏-中和滴定法 HJ 537-2009</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在线监测（进出水）故障时，监测频次依据文件《污染源自动监控设施运行管理办法》执行，第十五条污染源自动监控设施的维修、更换，必须在48小时内恢复自动监控设施正常运行，设施不能正常运行期间，要采取人工采样监测，数据报送每天不少于4次，间隔时间不得超过6小时</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24</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总磷（以P计）</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自动</w:t>
                  </w:r>
                </w:p>
              </w:tc>
              <w:tc>
                <w:tcPr>
                  <w:tcW w:w="712"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047" w:type="dxa"/>
                  <w:noWrap w:val="0"/>
                  <w:vAlign w:val="center"/>
                </w:tcPr>
                <w:p>
                  <w:pPr>
                    <w:pStyle w:val="16"/>
                    <w:adjustRightInd w:val="0"/>
                    <w:snapToGrid w:val="0"/>
                    <w:jc w:val="center"/>
                    <w:rPr>
                      <w:rFonts w:hint="eastAsia" w:ascii="宋体" w:hAnsi="宋体"/>
                    </w:rPr>
                  </w:pPr>
                  <w:r>
                    <w:rPr>
                      <w:rFonts w:hint="eastAsia" w:ascii="宋体" w:hAnsi="宋体"/>
                    </w:rPr>
                    <w:t>总磷在线监测仪</w:t>
                  </w:r>
                </w:p>
              </w:tc>
              <w:tc>
                <w:tcPr>
                  <w:tcW w:w="1143" w:type="dxa"/>
                  <w:noWrap w:val="0"/>
                  <w:vAlign w:val="center"/>
                </w:tcPr>
                <w:p>
                  <w:pPr>
                    <w:pStyle w:val="16"/>
                    <w:adjustRightInd w:val="0"/>
                    <w:snapToGrid w:val="0"/>
                    <w:jc w:val="center"/>
                    <w:rPr>
                      <w:rFonts w:hint="eastAsia" w:ascii="宋体" w:hAnsi="宋体"/>
                    </w:rPr>
                  </w:pPr>
                  <w:r>
                    <w:rPr>
                      <w:rFonts w:hint="eastAsia" w:ascii="宋体" w:hAnsi="宋体"/>
                    </w:rPr>
                    <w:t>在线监测室</w:t>
                  </w:r>
                </w:p>
              </w:tc>
              <w:tc>
                <w:tcPr>
                  <w:tcW w:w="1271" w:type="dxa"/>
                  <w:noWrap w:val="0"/>
                  <w:vAlign w:val="center"/>
                </w:tcPr>
                <w:p>
                  <w:pPr>
                    <w:pStyle w:val="16"/>
                    <w:adjustRightInd w:val="0"/>
                    <w:snapToGrid w:val="0"/>
                    <w:jc w:val="center"/>
                    <w:rPr>
                      <w:rFonts w:hint="eastAsia" w:ascii="宋体" w:hAnsi="宋体"/>
                    </w:rPr>
                  </w:pPr>
                  <w:r>
                    <w:rPr>
                      <w:rFonts w:hint="eastAsia" w:ascii="宋体" w:hAnsi="宋体"/>
                    </w:rPr>
                    <w:t>是</w:t>
                  </w: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4次/日，间隔时间不得超过6h</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总磷的测定 钼酸铵分光光度法 GB 11893-1989</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在线监测（进出水）故障时，监测频次依据文件《污染源自动监控设施运行管理办法》执行，第十五条污染源自动监控设施的维修、更换，必须在48小时内恢复自动监控设施正常运行，设施不能正常运行期间，要采取人工采样监测，数据报送每天不少于4次，间隔时间不得超过6小时</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25</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氟化物（以F-计）</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氟化物的测定 氟试剂分光光度法HJ 488—2009 代替GB 7483—87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26</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石油类</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石油类和动植物油类的测定 红外分光光度法HJ637-2018</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27</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动植物油</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石油类和动植物油类的测定 红外分光光度法HJ 637-2012代替GB/T 16488-1996</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28</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总氰化物</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硝酸银滴定法GB7486-87</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29</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DW001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眉山市派普污水处理厂排放口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水温,流量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总铝</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1次/季</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间接火焰原子吸收法</w:t>
                  </w:r>
                </w:p>
              </w:tc>
              <w:tc>
                <w:tcPr>
                  <w:tcW w:w="1070" w:type="dxa"/>
                  <w:noWrap w:val="0"/>
                  <w:vAlign w:val="center"/>
                </w:tcPr>
                <w:p>
                  <w:pPr>
                    <w:pStyle w:val="16"/>
                    <w:adjustRightInd w:val="0"/>
                    <w:snapToGrid w:val="0"/>
                    <w:jc w:val="center"/>
                    <w:rPr>
                      <w:rFonts w:hint="eastAsia" w:ascii="宋体" w:hAnsi="宋体"/>
                    </w:rPr>
                  </w:pP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30</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PP-YS-001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雨水排放口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pH值</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1次/下雨时</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pH值的测定 玻璃电极法 GB 6920-1986</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雨水排放口有流动水排放时按日监测</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31</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PP-YS-001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雨水排放口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悬浮物</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1次/下雨时</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悬浮物的测定 重量法 GB 11901-1989</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雨水排放口有流动水排放时按日监测</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32</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PP-YS-001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雨水排放口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化学需氧量</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1次/下雨时</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化学需氧量的测定 重铬酸盐法 HJ 828-2017</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雨水排放口有流动水排放时按日监测</w:t>
                  </w:r>
                </w:p>
              </w:tc>
            </w:tr>
            <w:tr>
              <w:tblPrEx>
                <w:tblBorders>
                  <w:top w:val="none" w:color="000000" w:sz="0" w:space="0"/>
                  <w:left w:val="none" w:color="000000" w:sz="0" w:space="0"/>
                  <w:bottom w:val="none" w:color="000000" w:sz="0" w:space="0"/>
                  <w:right w:val="none" w:color="000000" w:sz="0"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pPr>
                    <w:pStyle w:val="16"/>
                    <w:adjustRightInd w:val="0"/>
                    <w:snapToGrid w:val="0"/>
                    <w:jc w:val="center"/>
                    <w:rPr>
                      <w:rFonts w:hint="eastAsia" w:ascii="宋体" w:hAnsi="宋体"/>
                    </w:rPr>
                  </w:pPr>
                  <w:r>
                    <w:rPr>
                      <w:rFonts w:hint="eastAsia" w:ascii="宋体" w:hAnsi="宋体"/>
                    </w:rPr>
                    <w:t>33</w:t>
                  </w:r>
                </w:p>
              </w:tc>
              <w:tc>
                <w:tcPr>
                  <w:tcW w:w="718" w:type="dxa"/>
                  <w:noWrap w:val="0"/>
                  <w:vAlign w:val="center"/>
                </w:tcPr>
                <w:p>
                  <w:pPr>
                    <w:pStyle w:val="16"/>
                    <w:adjustRightInd w:val="0"/>
                    <w:snapToGrid w:val="0"/>
                    <w:jc w:val="center"/>
                    <w:rPr>
                      <w:rFonts w:hint="eastAsia" w:ascii="宋体" w:hAnsi="宋体"/>
                    </w:rPr>
                  </w:pPr>
                  <w:r>
                    <w:rPr>
                      <w:rFonts w:hint="eastAsia" w:ascii="宋体" w:hAnsi="宋体"/>
                    </w:rPr>
                    <w:t>废水</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PP-YS-001</w:t>
                  </w:r>
                </w:p>
              </w:tc>
              <w:tc>
                <w:tcPr>
                  <w:tcW w:w="795" w:type="dxa"/>
                  <w:noWrap w:val="0"/>
                  <w:vAlign w:val="center"/>
                </w:tcPr>
                <w:p>
                  <w:pPr>
                    <w:pStyle w:val="16"/>
                    <w:adjustRightInd w:val="0"/>
                    <w:snapToGrid w:val="0"/>
                    <w:jc w:val="center"/>
                    <w:rPr>
                      <w:rFonts w:hint="eastAsia" w:ascii="宋体" w:hAnsi="宋体"/>
                    </w:rPr>
                  </w:pPr>
                  <w:r>
                    <w:rPr>
                      <w:rFonts w:hint="eastAsia" w:ascii="宋体" w:hAnsi="宋体"/>
                    </w:rPr>
                    <w:t>雨水排放口</w:t>
                  </w:r>
                </w:p>
              </w:tc>
              <w:tc>
                <w:tcPr>
                  <w:tcW w:w="806" w:type="dxa"/>
                  <w:noWrap w:val="0"/>
                  <w:vAlign w:val="center"/>
                </w:tcPr>
                <w:p>
                  <w:pPr>
                    <w:pStyle w:val="16"/>
                    <w:adjustRightInd w:val="0"/>
                    <w:snapToGrid w:val="0"/>
                    <w:jc w:val="center"/>
                    <w:rPr>
                      <w:rFonts w:hint="eastAsia" w:ascii="宋体" w:hAnsi="宋体"/>
                    </w:rPr>
                  </w:pPr>
                  <w:r>
                    <w:rPr>
                      <w:rFonts w:hint="eastAsia" w:ascii="宋体" w:hAnsi="宋体"/>
                    </w:rPr>
                    <w:t>流量</w:t>
                  </w:r>
                </w:p>
              </w:tc>
              <w:tc>
                <w:tcPr>
                  <w:tcW w:w="1148" w:type="dxa"/>
                  <w:noWrap w:val="0"/>
                  <w:vAlign w:val="center"/>
                </w:tcPr>
                <w:p>
                  <w:pPr>
                    <w:pStyle w:val="16"/>
                    <w:adjustRightInd w:val="0"/>
                    <w:snapToGrid w:val="0"/>
                    <w:jc w:val="center"/>
                    <w:rPr>
                      <w:rFonts w:hint="eastAsia" w:ascii="宋体" w:hAnsi="宋体"/>
                    </w:rPr>
                  </w:pPr>
                  <w:r>
                    <w:rPr>
                      <w:rFonts w:hint="eastAsia" w:ascii="宋体" w:hAnsi="宋体"/>
                    </w:rPr>
                    <w:t>氨氮（NH3-N）</w:t>
                  </w:r>
                </w:p>
              </w:tc>
              <w:tc>
                <w:tcPr>
                  <w:tcW w:w="845" w:type="dxa"/>
                  <w:noWrap w:val="0"/>
                  <w:vAlign w:val="center"/>
                </w:tcPr>
                <w:p>
                  <w:pPr>
                    <w:pStyle w:val="16"/>
                    <w:adjustRightInd w:val="0"/>
                    <w:snapToGrid w:val="0"/>
                    <w:jc w:val="center"/>
                    <w:rPr>
                      <w:rFonts w:hint="eastAsia" w:ascii="宋体" w:hAnsi="宋体"/>
                    </w:rPr>
                  </w:pPr>
                  <w:r>
                    <w:rPr>
                      <w:rFonts w:hint="eastAsia" w:ascii="宋体" w:hAnsi="宋体"/>
                    </w:rPr>
                    <w:t>手工</w:t>
                  </w:r>
                </w:p>
              </w:tc>
              <w:tc>
                <w:tcPr>
                  <w:tcW w:w="712" w:type="dxa"/>
                  <w:noWrap w:val="0"/>
                  <w:vAlign w:val="center"/>
                </w:tcPr>
                <w:p>
                  <w:pPr>
                    <w:pStyle w:val="16"/>
                    <w:adjustRightInd w:val="0"/>
                    <w:snapToGrid w:val="0"/>
                    <w:jc w:val="center"/>
                    <w:rPr>
                      <w:rFonts w:hint="eastAsia" w:ascii="宋体" w:hAnsi="宋体"/>
                    </w:rPr>
                  </w:pPr>
                </w:p>
              </w:tc>
              <w:tc>
                <w:tcPr>
                  <w:tcW w:w="1047" w:type="dxa"/>
                  <w:noWrap w:val="0"/>
                  <w:vAlign w:val="center"/>
                </w:tcPr>
                <w:p>
                  <w:pPr>
                    <w:pStyle w:val="16"/>
                    <w:adjustRightInd w:val="0"/>
                    <w:snapToGrid w:val="0"/>
                    <w:jc w:val="center"/>
                    <w:rPr>
                      <w:rFonts w:hint="eastAsia" w:ascii="宋体" w:hAnsi="宋体"/>
                    </w:rPr>
                  </w:pPr>
                </w:p>
              </w:tc>
              <w:tc>
                <w:tcPr>
                  <w:tcW w:w="1143" w:type="dxa"/>
                  <w:noWrap w:val="0"/>
                  <w:vAlign w:val="center"/>
                </w:tcPr>
                <w:p>
                  <w:pPr>
                    <w:pStyle w:val="16"/>
                    <w:adjustRightInd w:val="0"/>
                    <w:snapToGrid w:val="0"/>
                    <w:jc w:val="center"/>
                    <w:rPr>
                      <w:rFonts w:hint="eastAsia" w:ascii="宋体" w:hAnsi="宋体"/>
                    </w:rPr>
                  </w:pPr>
                </w:p>
              </w:tc>
              <w:tc>
                <w:tcPr>
                  <w:tcW w:w="1271" w:type="dxa"/>
                  <w:noWrap w:val="0"/>
                  <w:vAlign w:val="center"/>
                </w:tcPr>
                <w:p>
                  <w:pPr>
                    <w:pStyle w:val="16"/>
                    <w:adjustRightInd w:val="0"/>
                    <w:snapToGrid w:val="0"/>
                    <w:jc w:val="center"/>
                    <w:rPr>
                      <w:rFonts w:hint="eastAsia" w:ascii="宋体" w:hAnsi="宋体"/>
                    </w:rPr>
                  </w:pPr>
                </w:p>
              </w:tc>
              <w:tc>
                <w:tcPr>
                  <w:tcW w:w="1131" w:type="dxa"/>
                  <w:noWrap w:val="0"/>
                  <w:vAlign w:val="center"/>
                </w:tcPr>
                <w:p>
                  <w:pPr>
                    <w:pStyle w:val="16"/>
                    <w:adjustRightInd w:val="0"/>
                    <w:snapToGrid w:val="0"/>
                    <w:jc w:val="center"/>
                    <w:rPr>
                      <w:rFonts w:hint="eastAsia" w:ascii="宋体" w:hAnsi="宋体"/>
                    </w:rPr>
                  </w:pPr>
                  <w:r>
                    <w:rPr>
                      <w:rFonts w:hint="eastAsia" w:ascii="宋体" w:hAnsi="宋体"/>
                    </w:rPr>
                    <w:t>混合采样 至少3个混合样</w:t>
                  </w:r>
                </w:p>
              </w:tc>
              <w:tc>
                <w:tcPr>
                  <w:tcW w:w="997" w:type="dxa"/>
                  <w:noWrap w:val="0"/>
                  <w:vAlign w:val="center"/>
                </w:tcPr>
                <w:p>
                  <w:pPr>
                    <w:pStyle w:val="16"/>
                    <w:adjustRightInd w:val="0"/>
                    <w:snapToGrid w:val="0"/>
                    <w:jc w:val="center"/>
                    <w:rPr>
                      <w:rFonts w:hint="eastAsia" w:ascii="宋体" w:hAnsi="宋体"/>
                    </w:rPr>
                  </w:pPr>
                  <w:r>
                    <w:rPr>
                      <w:rFonts w:hint="eastAsia" w:ascii="宋体" w:hAnsi="宋体"/>
                    </w:rPr>
                    <w:t>1次/下雨时</w:t>
                  </w:r>
                </w:p>
              </w:tc>
              <w:tc>
                <w:tcPr>
                  <w:tcW w:w="1708" w:type="dxa"/>
                  <w:noWrap w:val="0"/>
                  <w:vAlign w:val="center"/>
                </w:tcPr>
                <w:p>
                  <w:pPr>
                    <w:pStyle w:val="16"/>
                    <w:adjustRightInd w:val="0"/>
                    <w:snapToGrid w:val="0"/>
                    <w:jc w:val="center"/>
                    <w:rPr>
                      <w:rFonts w:hint="eastAsia" w:ascii="宋体" w:hAnsi="宋体"/>
                    </w:rPr>
                  </w:pPr>
                  <w:r>
                    <w:rPr>
                      <w:rFonts w:hint="eastAsia" w:ascii="宋体" w:hAnsi="宋体"/>
                    </w:rPr>
                    <w:t>水质 氨氮的测定 纳氏试剂分光光度法 HJ 535-2009</w:t>
                  </w:r>
                </w:p>
              </w:tc>
              <w:tc>
                <w:tcPr>
                  <w:tcW w:w="1070" w:type="dxa"/>
                  <w:noWrap w:val="0"/>
                  <w:vAlign w:val="center"/>
                </w:tcPr>
                <w:p>
                  <w:pPr>
                    <w:pStyle w:val="16"/>
                    <w:adjustRightInd w:val="0"/>
                    <w:snapToGrid w:val="0"/>
                    <w:jc w:val="center"/>
                    <w:rPr>
                      <w:rFonts w:hint="eastAsia" w:ascii="宋体" w:hAnsi="宋体"/>
                    </w:rPr>
                  </w:pPr>
                  <w:r>
                    <w:rPr>
                      <w:rFonts w:hint="eastAsia" w:ascii="宋体" w:hAnsi="宋体"/>
                    </w:rPr>
                    <w:t>雨水排放口有流动水排放时按日监测</w:t>
                  </w:r>
                </w:p>
              </w:tc>
            </w:tr>
          </w:tbl>
          <w:p>
            <w:pPr>
              <w:pStyle w:val="16"/>
              <w:adjustRightInd w:val="0"/>
              <w:snapToGrid w:val="0"/>
              <w:rPr>
                <w:rFonts w:hint="eastAsia" w:ascii="宋体" w:hAnsi="宋体"/>
              </w:rPr>
            </w:pPr>
            <w:bookmarkStart w:id="12" w:name="BIAO15ZXJC"/>
            <w:bookmarkEnd w:id="12"/>
          </w:p>
        </w:tc>
      </w:tr>
    </w:tbl>
    <w:p>
      <w:pPr>
        <w:pStyle w:val="2"/>
        <w:rPr>
          <w:rFonts w:hint="eastAsia"/>
        </w:rPr>
        <w:sectPr>
          <w:footerReference r:id="rId8" w:type="first"/>
          <w:pgSz w:w="16838" w:h="11906" w:orient="landscape"/>
          <w:pgMar w:top="1800" w:right="1440" w:bottom="1800" w:left="1440" w:header="851" w:footer="992" w:gutter="0"/>
          <w:cols w:space="720" w:num="1"/>
          <w:titlePg/>
          <w:docGrid w:type="lines" w:linePitch="312" w:charSpace="0"/>
        </w:sectPr>
      </w:pPr>
    </w:p>
    <w:p>
      <w:pPr>
        <w:pStyle w:val="2"/>
        <w:rPr>
          <w:rFonts w:hint="eastAsia" w:ascii="Times New Roman"/>
          <w:b w:val="0"/>
          <w:bCs w:val="0"/>
          <w:sz w:val="28"/>
          <w:szCs w:val="28"/>
          <w:lang w:val="en-US" w:eastAsia="zh-CN"/>
        </w:rPr>
      </w:pPr>
      <w:r>
        <w:rPr>
          <w:rFonts w:hint="eastAsia" w:ascii="Times New Roman"/>
          <w:b w:val="0"/>
          <w:bCs w:val="0"/>
          <w:sz w:val="28"/>
          <w:szCs w:val="28"/>
          <w:lang w:val="en-US" w:eastAsia="zh-CN"/>
        </w:rPr>
        <w:t>四、全年自行监测执行情况</w:t>
      </w:r>
    </w:p>
    <w:p>
      <w:pPr>
        <w:pStyle w:val="2"/>
        <w:rPr>
          <w:rFonts w:hint="eastAsia" w:ascii="Times New Roman"/>
          <w:b w:val="0"/>
          <w:bCs w:val="0"/>
          <w:sz w:val="28"/>
          <w:szCs w:val="28"/>
          <w:lang w:val="en-US" w:eastAsia="zh-CN"/>
        </w:rPr>
      </w:pPr>
      <w:r>
        <w:rPr>
          <w:rFonts w:hint="eastAsia" w:ascii="Times New Roman"/>
          <w:b w:val="0"/>
          <w:bCs w:val="0"/>
          <w:sz w:val="28"/>
          <w:szCs w:val="28"/>
          <w:lang w:val="en-US" w:eastAsia="zh-CN"/>
        </w:rPr>
        <w:t>4.1自行监测方案变更情况</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眉山市派普污水处理有限公司在2023年3月编制了《2023年眉山市派普污水处理有限公司自行监测方案》，严格按照自行监测方案的要求开展自行监测工作，并对相关信息进行公示。因2023年8月，企业部分信息调整，于2023年8月对检测方案进行了调整，调整后至今无其他调整变化。</w:t>
      </w:r>
    </w:p>
    <w:p>
      <w:pPr>
        <w:pStyle w:val="2"/>
        <w:rPr>
          <w:rFonts w:hint="eastAsia" w:ascii="Times New Roman"/>
          <w:b w:val="0"/>
          <w:bCs w:val="0"/>
          <w:sz w:val="28"/>
          <w:szCs w:val="28"/>
          <w:lang w:val="en-US" w:eastAsia="zh-CN"/>
        </w:rPr>
      </w:pPr>
      <w:r>
        <w:rPr>
          <w:rFonts w:hint="eastAsia" w:ascii="Times New Roman"/>
          <w:b w:val="0"/>
          <w:bCs w:val="0"/>
          <w:sz w:val="28"/>
          <w:szCs w:val="28"/>
          <w:lang w:val="en-US" w:eastAsia="zh-CN"/>
        </w:rPr>
        <w:t>4.2全年自行监测执行情况</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2023年1月1日起，眉山市派普污水处理有限公司开展2023年度自行监测工作，截止2023年12月31日，全年生产365天，自行监测365天。</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自行监测工作分为自动和手动相结合的方式开展，全年自动监测设备运转率为100%，数据传输率为99%，在线监测运维单位为：四川中科中瑞环保科技有限公司。手工检测委托第三方检测单位为：四川中环环境检测技术有限公司。详细自行监测情况如下：</w:t>
      </w:r>
    </w:p>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sz w:val="24"/>
          <w:lang w:val="en-US" w:eastAsia="zh-CN"/>
        </w:rPr>
      </w:pPr>
      <w:r>
        <w:rPr>
          <w:rFonts w:hint="eastAsia" w:ascii="Times New Roman"/>
          <w:sz w:val="24"/>
          <w:lang w:val="en-US" w:eastAsia="zh-CN"/>
        </w:rPr>
        <w:t>4.2.1废水自动监测部分</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（1）流量</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监测设备生产厂家：北京九波声迪科技有限公司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监测设备运维单位：四川中科中瑞环保科技有限公司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2023年1月1日至2023年12月31日，眉山市派普污水处理有限公司全年累计排放污水</w:t>
      </w:r>
      <w:r>
        <w:rPr>
          <w:rFonts w:hint="eastAsia" w:ascii="Times New Roman"/>
          <w:color w:val="auto"/>
          <w:sz w:val="24"/>
          <w:lang w:val="en-US" w:eastAsia="zh-CN"/>
        </w:rPr>
        <w:t>3029459</w:t>
      </w:r>
      <w:r>
        <w:rPr>
          <w:rFonts w:hint="eastAsia" w:ascii="Times New Roman"/>
          <w:sz w:val="24"/>
          <w:lang w:val="en-US" w:eastAsia="zh-CN"/>
        </w:rPr>
        <w:t>m3.</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（2）化学需氧量（CODCr）</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监测设备生产厂家：杭州泽天科技有限公司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监测设备运维单位：四川中科中瑞环保科技有限公司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化学需氧量为自动监测，每2小时自动检测一次，2023年1月1日至2023年12月31日，全年共计检测4380次，未出现日均超标，年最大值为</w:t>
      </w:r>
      <w:r>
        <w:rPr>
          <w:rFonts w:hint="eastAsia" w:ascii="Times New Roman"/>
          <w:color w:val="auto"/>
          <w:sz w:val="24"/>
          <w:lang w:val="en-US" w:eastAsia="zh-CN"/>
        </w:rPr>
        <w:t>11.905</w:t>
      </w:r>
      <w:r>
        <w:rPr>
          <w:rFonts w:hint="eastAsia" w:ascii="Times New Roman"/>
          <w:sz w:val="24"/>
          <w:lang w:val="en-US" w:eastAsia="zh-CN"/>
        </w:rPr>
        <w:t>mg/L,年最小值为6.892mg/L，年平均值为8.845mg/L。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（3）氨氮</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监测设备生产厂家：杭州泽天科技有限公司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监测设备运维单位：四川中科中瑞环保科技有限公司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氨氮为自动监测，每2小时自动检测一次，2023年1月1日至2023年12月31日，全年共计检测4380次，其中日均超标次数0次，年最大值为0.313mg/L,年最小值为0.131mg/L，年平均值为0.186mg/。</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（4）总氮</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监测设备生产厂家：杭州泽天科技有限公司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监测设备运维单位：四川中科中瑞环保科技有限公司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总氮为自动监测，每2小时自动检测一次，2023年1月1日至2023年12月31日，全年共计检测4380次，未出现日均超标，年最大值为11.137mg/L,年最小值为7.31mg/L，年平均值为10.048mg/L.。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（5）总磷</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监测设备生产厂家：杭州泽天科技有限公司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监测设备运维单位：四川中科中瑞环保科技有限公司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总磷为自动监测，每2小时自动检测一次，2023年1月1日至2023年12月31日，全年共计检测4380次，未出现日均超标，年最大值为0.276mg/L,年最小值为0.075mg/L，年平均值为0.197mg/L。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（6）pH</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监测设备生产厂家：杭州泽天科技有限公司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监测设备运维单位：四川中科中瑞环保科技有限公司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pH为自动监测，每2小时自动检测一次，2023年1月1日至2023年12月31日，全年共计检测4380次，未出现日均超标，年最大值为8.062mg/L,年最小值为7.038mg/L，年平均值为7.502mg/L。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sz w:val="24"/>
          <w:lang w:val="en-US" w:eastAsia="zh-CN"/>
        </w:rPr>
      </w:pPr>
      <w:r>
        <w:rPr>
          <w:rFonts w:hint="eastAsia" w:ascii="Times New Roman"/>
          <w:sz w:val="24"/>
          <w:lang w:val="en-US" w:eastAsia="zh-CN"/>
        </w:rPr>
        <w:t>4.2.2废水手工检测部分</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（7）悬浮物（SS）</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悬浮物为手工检测，每月检测一次，2023年1月1日至2023年12月31日，全年共计检测12次，其中超标次数0次，最大值为9mg/L,最小值为4mg/L，平均值为4.92mg/L。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（8）色度</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色度为手工检测，每月检测一次，2023年1月1日至2023年12月31日，全年共计检测12次，其中超标次数0次，最大值为5，最小值为3，平均值为4.08。</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（9）总铅</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总铅为手工检测，每月检测一次，2023年1月1日至2023年12月31日，全年共计检测12次，其中超标次数0次，最大值为0.0022mg/L,最小值为0.0002mg/L，平均值为0.000475mg/L.。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（10）总铬</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总铬为手工检测，每月检测一次，2023年1月1日至2023年12月31日，全年共计检测12次，其中超标次数0次，最大值为0.004mg/L,最小值为0.004mg/L，平均值为0.004mg/L。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（11）六价铬</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六价铬为手工检测，每月检测一次，2023年1月1日至2023年12月31日，全年共计检测12次，其中超标次数0次，最大值为0.004mg/L,最小值为0.0002mg/L，平均值为0.004mg/L。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（12）总镉</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eastAsia="宋体"/>
          <w:sz w:val="24"/>
          <w:lang w:val="en-US" w:eastAsia="zh-CN"/>
        </w:rPr>
      </w:pPr>
      <w:r>
        <w:rPr>
          <w:rFonts w:hint="eastAsia" w:ascii="Times New Roman"/>
          <w:sz w:val="24"/>
          <w:lang w:val="en-US" w:eastAsia="zh-CN"/>
        </w:rPr>
        <w:t>总镉为手工检测，每月检测一次，2023年1月1日至2023年12月31日，全年共计检测12次，其中超标次数0次，最大值为0.00057mg/L,最小值为0.00001mg/L，平均值为0.00012mg/L。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（13）总砷</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总砷为手工检测，每月检测一次，2023年1月1日至2023年12月31日，全年共计检测12次，其中超标次数0次，最大值为0.003mg/L,最小值为0.0003mg/L，平均值为0.00098mg/L。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（14）总汞</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总汞为手工检测，每月检测一次，2023年1月1日至2023年12月31日，全年共计检测12次，其中超标次数0次，最大值为0.00035mg/L,最小值为0.00004mg/L，平均值为0.000146mg/L。</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（15）粪大肠菌群</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粪大肠菌群为手工检测，每季度检测一次，2023年1月1日至2023年12月31日，全年共计检测4次，其中超标次数0次，最大值为660，最小值为510，平均值为585，每季度检测平均数据见下表：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总锌季度检测数据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标准限值（个/L）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1000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1000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1000</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检测值（个/L）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660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510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660</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510</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（16）阴离子表面活性剂</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阴离子表面活性剂为手工检测，每季度检测一次，2023年1月1日至2023年12月31日，全年共计检测4次，其中超标次数0次，最大值为0.13mg/L,最小值为0.095mg/L，平均值为0.09mg/L，每季度检测平均数据见下表：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阴离子表面活性剂季度检测数据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0.5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0.5</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0.13</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0.07</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0.08</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0.1</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（17）氟化物</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氟化物为手工检测，每季度检测一次，2023年1月1日至2023年12月31日，全年共计检测4次，其中超标次数0次，最大值为4.4mg/L,最小值为2.78mg/L，平均值为3.77mg/L，每季度检测平均数据见下表：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氟化物季度检测数据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3.93</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2.78</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4.44</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3.92</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（18）总铜</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总铜为手工检测，每季度检测一次，2023年1月1日至2023年12月31日，全年共计检测4次，其中超标次数0次，最大值为0.04mg/L,最小值为004mg/L，平均值为0.04mg/L，每季度检测平均数据见下表：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总铜季度检测数据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0.04</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0.04</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0.04</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0.04</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（19）总锌</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总锌为手工检测，每季度检测一次，2023年1月1日至2023年12月31日，全年共计检测4次，其中超标次数0次，最大值为0.065mg/L,最小值为0.013mg/L，平均值为0.0325mg/L，每季度检测平均数据见下表：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总锌季度检测数据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0.018</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0.033</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0.013</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（20）总铁</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总铁为手工检测，每季度检测一次，2023年1月1日至2023年12月31日，全年共计检测4次，其中超标次数0次，最大值为0.07mg/L,最小值为0.1mg/L，平均值为0.035mg/L，每季度检测平均数据见下表：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总铁季度检测数据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0.07</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0.02</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0.04</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（21）烷基汞</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烷基汞为手工检测，每季度检测一次，2023年1月1日至2023年12月31日，全年共计检测0次，其中超标次数0次，最大值为0mg/L,最小值为0mg/L，平均值为0mg/L，每季度检测平均数据见下表：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烷基汞季度检测数据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（22）总铝</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总铝为手工检测，每季度检测一次，2023年1月1日至2023年12月31日，全年共计检测4次，其中超标次数0次，最大值为0.245mg/L,最小值为0.074mg/L，平均值为0.153mg/L，每季度检测平均数据见下表：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总铝季度检测数据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0.196</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0.098</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0.245</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0.074</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（23）五日生化需氧量</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五日生化需氧量为手工检测，每季度检测一次，2023年1月1日至2023年12月31日，全年共计检测4次，其中超标次数0次，最大值为2.6mg/L,最小值为0.5mg/L，平均值为1.55mg/L，每季度检测平均数据见下表：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五日生化需氧量季度检测数据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2.6</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0.8</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2.3</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（24）总氰化物</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总氰化物为手工检测，每季度检测一次，2023年1月1日至2023年12月31日，全年共计检测4次，其中超标次数0次，最大值为0.004mg/L,最小值为0.004mg/L，平均值为0.004mg/L，每季度检测平均数据见下表：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总氰化物季度检测数据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0.004</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0.004</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0.004</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0.004</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（25）动植物油</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总氰化物为手工检测，每季度检测一次，2023年1月1日至2023年12月31日，全年共计检测4次，其中超标次数0次，最大值为0.06mg/L,最小值为0.06mg/L，平均值为0.06mg/L，每季度检测平均数据见下表：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动植物油季度检测数据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（26）石油类</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总氰化物为手工检测，每季度检测一次，2023年1月1日至2023年12月31日，全年共计检测4次，其中超标次数0次，最大值为0.06mg/L,最小值为0.06mg/L，平均值为0.06mg/L，每季度检测平均数据见下表：</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1617"/>
        <w:gridCol w:w="1617"/>
        <w:gridCol w:w="161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520" w:type="dxa"/>
            <w:gridSpan w:val="5"/>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2023年度派普出水</w:t>
            </w:r>
            <w:r>
              <w:rPr>
                <w:rFonts w:hint="eastAsia" w:ascii="Times New Roman"/>
                <w:sz w:val="24"/>
                <w:lang w:val="en-US" w:eastAsia="zh-CN"/>
              </w:rPr>
              <w:t>石油类季度检测数据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时间（季度）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第一季度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第二季度</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第三季度</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标准限值（mg/L）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050"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检测值（mg/L）</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1617"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1619"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sz w:val="24"/>
          <w:lang w:val="en-US" w:eastAsia="zh-CN"/>
        </w:rPr>
      </w:pPr>
      <w:r>
        <w:rPr>
          <w:rFonts w:hint="eastAsia" w:ascii="Times New Roman"/>
          <w:sz w:val="24"/>
          <w:lang w:val="en-US" w:eastAsia="zh-CN"/>
        </w:rPr>
        <w:t>4.2.3废气手工检测部分</w:t>
      </w:r>
    </w:p>
    <w:p>
      <w:pPr>
        <w:pStyle w:val="2"/>
        <w:keepNext w:val="0"/>
        <w:keepLines w:val="0"/>
        <w:pageBreakBefore w:val="0"/>
        <w:widowControl w:val="0"/>
        <w:numPr>
          <w:ilvl w:val="0"/>
          <w:numId w:val="1"/>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臭气浓度</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臭气浓度为手工检测，每半年检测一次，2023年1月1日至2023年12月31日，全年共计检测2次，其中超标次数0次，平均值为12，每半年检测平均数据见下表：</w:t>
      </w:r>
    </w:p>
    <w:tbl>
      <w:tblPr>
        <w:tblStyle w:val="11"/>
        <w:tblW w:w="6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111"/>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900" w:type="dxa"/>
            <w:gridSpan w:val="3"/>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2023年度派普无组织废气臭气浓度</w:t>
            </w:r>
            <w:r>
              <w:rPr>
                <w:rFonts w:hint="eastAsia" w:ascii="Times New Roman"/>
                <w:sz w:val="24"/>
                <w:lang w:val="en-US" w:eastAsia="zh-CN"/>
              </w:rPr>
              <w:t>半年度检测数据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时间（半年度）</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上半年</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下半年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标准限值（无纲量）</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检测值（无纲量）</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12</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12</w:t>
            </w:r>
          </w:p>
        </w:tc>
      </w:tr>
    </w:tbl>
    <w:p>
      <w:pPr>
        <w:pStyle w:val="2"/>
        <w:keepNext w:val="0"/>
        <w:keepLines w:val="0"/>
        <w:pageBreakBefore w:val="0"/>
        <w:widowControl w:val="0"/>
        <w:numPr>
          <w:ilvl w:val="0"/>
          <w:numId w:val="1"/>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氨为手工检测，每半年检测一次，2023年1月1日至2023年12月31日，全年共计检测2次，其中超标次数0次，平均值为0.131</w:t>
      </w:r>
      <w:r>
        <w:rPr>
          <w:rFonts w:ascii="Times New Roman" w:hAnsi="Times New Roman" w:eastAsia="宋体"/>
          <w:szCs w:val="21"/>
        </w:rPr>
        <w:t>mg/m³</w:t>
      </w:r>
      <w:r>
        <w:rPr>
          <w:rFonts w:hint="eastAsia" w:ascii="Times New Roman"/>
          <w:sz w:val="24"/>
          <w:lang w:val="en-US" w:eastAsia="zh-CN"/>
        </w:rPr>
        <w:t>，每半年检测平均数据见下表：</w:t>
      </w:r>
    </w:p>
    <w:tbl>
      <w:tblPr>
        <w:tblStyle w:val="11"/>
        <w:tblW w:w="6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111"/>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900" w:type="dxa"/>
            <w:gridSpan w:val="3"/>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2023年度派普无组织废气氨</w:t>
            </w:r>
            <w:r>
              <w:rPr>
                <w:rFonts w:hint="eastAsia" w:ascii="Times New Roman"/>
                <w:sz w:val="24"/>
                <w:lang w:val="en-US" w:eastAsia="zh-CN"/>
              </w:rPr>
              <w:t>半年度检测数据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时间（半年度）</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上半年</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下半年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标准限值（</w:t>
            </w:r>
            <w:r>
              <w:rPr>
                <w:rFonts w:ascii="Times New Roman" w:hAnsi="Times New Roman" w:eastAsia="宋体"/>
                <w:szCs w:val="21"/>
              </w:rPr>
              <w:t>mg/m³</w:t>
            </w:r>
            <w:r>
              <w:rPr>
                <w:rFonts w:hint="eastAsia" w:ascii="Times New Roman"/>
                <w:sz w:val="24"/>
                <w:vertAlign w:val="baseline"/>
                <w:lang w:val="en-US" w:eastAsia="zh-CN"/>
              </w:rPr>
              <w:t>）</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1.5</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w:t>
            </w:r>
            <w:r>
              <w:rPr>
                <w:rFonts w:ascii="Times New Roman" w:hAnsi="Times New Roman" w:eastAsia="宋体"/>
                <w:szCs w:val="21"/>
              </w:rPr>
              <w:t>mg/m³</w:t>
            </w:r>
            <w:r>
              <w:rPr>
                <w:rFonts w:hint="eastAsia" w:ascii="Times New Roman"/>
                <w:sz w:val="24"/>
                <w:vertAlign w:val="baseline"/>
                <w:lang w:val="en-US" w:eastAsia="zh-CN"/>
              </w:rPr>
              <w:t>）</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0.083</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0.13</w:t>
            </w:r>
          </w:p>
        </w:tc>
      </w:tr>
    </w:tbl>
    <w:p>
      <w:pPr>
        <w:pStyle w:val="2"/>
        <w:keepNext w:val="0"/>
        <w:keepLines w:val="0"/>
        <w:pageBreakBefore w:val="0"/>
        <w:widowControl w:val="0"/>
        <w:numPr>
          <w:ilvl w:val="0"/>
          <w:numId w:val="1"/>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硫化氢</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硫化氢为手工检测，每半年检测一次，2023年1月1日至2023年12月31日，全年共计检测2次，其中超标次数0次，平均值为0.002</w:t>
      </w:r>
      <w:r>
        <w:rPr>
          <w:rFonts w:ascii="Times New Roman" w:hAnsi="Times New Roman" w:eastAsia="宋体"/>
          <w:szCs w:val="21"/>
        </w:rPr>
        <w:t>mg/m³</w:t>
      </w:r>
      <w:r>
        <w:rPr>
          <w:rFonts w:hint="eastAsia" w:ascii="Times New Roman"/>
          <w:sz w:val="24"/>
          <w:lang w:val="en-US" w:eastAsia="zh-CN"/>
        </w:rPr>
        <w:t>，每半年检测平均数据见下表：</w:t>
      </w:r>
    </w:p>
    <w:tbl>
      <w:tblPr>
        <w:tblStyle w:val="11"/>
        <w:tblW w:w="6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111"/>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900" w:type="dxa"/>
            <w:gridSpan w:val="3"/>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2023年度派普无组织废气硫化氢</w:t>
            </w:r>
            <w:r>
              <w:rPr>
                <w:rFonts w:hint="eastAsia" w:ascii="Times New Roman"/>
                <w:sz w:val="24"/>
                <w:lang w:val="en-US" w:eastAsia="zh-CN"/>
              </w:rPr>
              <w:t>半年度检测数据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时间（半年度）</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上半年</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下半年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标准限值（</w:t>
            </w:r>
            <w:r>
              <w:rPr>
                <w:rFonts w:ascii="Times New Roman" w:hAnsi="Times New Roman" w:eastAsia="宋体"/>
                <w:szCs w:val="21"/>
              </w:rPr>
              <w:t>mg/m³</w:t>
            </w:r>
            <w:r>
              <w:rPr>
                <w:rFonts w:hint="eastAsia" w:ascii="Times New Roman"/>
                <w:sz w:val="24"/>
                <w:vertAlign w:val="baseline"/>
                <w:lang w:val="en-US" w:eastAsia="zh-CN"/>
              </w:rPr>
              <w:t>）</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w:t>
            </w:r>
            <w:r>
              <w:rPr>
                <w:rFonts w:ascii="Times New Roman" w:hAnsi="Times New Roman" w:eastAsia="宋体"/>
                <w:szCs w:val="21"/>
              </w:rPr>
              <w:t>mg/m³</w:t>
            </w:r>
            <w:r>
              <w:rPr>
                <w:rFonts w:hint="eastAsia" w:ascii="Times New Roman"/>
                <w:sz w:val="24"/>
                <w:vertAlign w:val="baseline"/>
                <w:lang w:val="en-US" w:eastAsia="zh-CN"/>
              </w:rPr>
              <w:t>）</w:t>
            </w:r>
          </w:p>
        </w:tc>
        <w:tc>
          <w:tcPr>
            <w:tcW w:w="2111"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0.002</w:t>
            </w:r>
          </w:p>
        </w:tc>
        <w:tc>
          <w:tcPr>
            <w:tcW w:w="2113"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0.002</w:t>
            </w:r>
          </w:p>
        </w:tc>
      </w:tr>
    </w:tbl>
    <w:p>
      <w:pPr>
        <w:pStyle w:val="2"/>
        <w:keepNext w:val="0"/>
        <w:keepLines w:val="0"/>
        <w:pageBreakBefore w:val="0"/>
        <w:widowControl w:val="0"/>
        <w:numPr>
          <w:ilvl w:val="0"/>
          <w:numId w:val="1"/>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甲烷</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第三方检测单位：四川中环环境检测技术有限公司</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甲烷为手工检测，每半年检测一次，2023年1月1日至2023年12月31日，全年共计检测1次，其中超标次数0次，2023年度检测平均数据见下表：</w:t>
      </w:r>
    </w:p>
    <w:tbl>
      <w:tblPr>
        <w:tblStyle w:val="11"/>
        <w:tblW w:w="6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4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900" w:type="dxa"/>
            <w:gridSpan w:val="2"/>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hAnsi="Times New Roman" w:eastAsia="宋体" w:cs="宋体"/>
                <w:color w:val="000000"/>
                <w:sz w:val="24"/>
                <w:szCs w:val="24"/>
                <w:vertAlign w:val="baseline"/>
                <w:lang w:val="en-US" w:eastAsia="zh-CN" w:bidi="ar-SA"/>
              </w:rPr>
            </w:pPr>
            <w:r>
              <w:rPr>
                <w:rFonts w:hint="eastAsia" w:ascii="Times New Roman"/>
                <w:sz w:val="24"/>
                <w:vertAlign w:val="baseline"/>
                <w:lang w:val="en-US" w:eastAsia="zh-CN"/>
              </w:rPr>
              <w:t>2023年度派普无组织废气甲烷2023</w:t>
            </w:r>
            <w:r>
              <w:rPr>
                <w:rFonts w:hint="eastAsia" w:ascii="Times New Roman"/>
                <w:sz w:val="24"/>
                <w:lang w:val="en-US" w:eastAsia="zh-CN"/>
              </w:rPr>
              <w:t>年度检测数据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时间（年度）</w:t>
            </w:r>
          </w:p>
        </w:tc>
        <w:tc>
          <w:tcPr>
            <w:tcW w:w="4224"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标准限值（%）</w:t>
            </w:r>
          </w:p>
        </w:tc>
        <w:tc>
          <w:tcPr>
            <w:tcW w:w="4224"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676"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Times New Roman"/>
                <w:sz w:val="24"/>
                <w:vertAlign w:val="baseline"/>
                <w:lang w:val="en-US" w:eastAsia="zh-CN"/>
              </w:rPr>
            </w:pPr>
            <w:r>
              <w:rPr>
                <w:rFonts w:hint="eastAsia" w:ascii="Times New Roman"/>
                <w:sz w:val="24"/>
                <w:vertAlign w:val="baseline"/>
                <w:lang w:val="en-US" w:eastAsia="zh-CN"/>
              </w:rPr>
              <w:t>检测值（%）</w:t>
            </w:r>
          </w:p>
        </w:tc>
        <w:tc>
          <w:tcPr>
            <w:tcW w:w="4224" w:type="dxa"/>
            <w:vAlign w:val="top"/>
          </w:tcPr>
          <w:p>
            <w:pPr>
              <w:pStyle w:val="2"/>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sz w:val="24"/>
                <w:vertAlign w:val="baseline"/>
                <w:lang w:val="en-US" w:eastAsia="zh-CN"/>
              </w:rPr>
            </w:pPr>
            <w:r>
              <w:rPr>
                <w:rFonts w:hint="eastAsia" w:ascii="Times New Roman"/>
                <w:sz w:val="24"/>
                <w:vertAlign w:val="baseline"/>
                <w:lang w:val="en-US" w:eastAsia="zh-CN"/>
              </w:rPr>
              <w:t>0.00023</w:t>
            </w:r>
          </w:p>
        </w:tc>
      </w:tr>
    </w:tbl>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sz w:val="24"/>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Times New Roman"/>
          <w:sz w:val="28"/>
          <w:szCs w:val="28"/>
          <w:lang w:val="en-US" w:eastAsia="zh-CN"/>
        </w:rPr>
      </w:pPr>
      <w:r>
        <w:rPr>
          <w:rFonts w:hint="eastAsia" w:ascii="Times New Roman"/>
          <w:sz w:val="28"/>
          <w:szCs w:val="28"/>
          <w:lang w:val="en-US" w:eastAsia="zh-CN"/>
        </w:rPr>
        <w:t>五、全年主要污染物排放情况</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Times New Roman"/>
          <w:sz w:val="28"/>
          <w:szCs w:val="28"/>
          <w:lang w:val="en-US" w:eastAsia="zh-CN"/>
        </w:rPr>
      </w:pPr>
      <w:r>
        <w:rPr>
          <w:rFonts w:hint="eastAsia" w:ascii="Times New Roman"/>
          <w:sz w:val="28"/>
          <w:szCs w:val="28"/>
          <w:lang w:val="en-US" w:eastAsia="zh-CN"/>
        </w:rPr>
        <w:t>5.1废气部分排放总量计算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眉山市派普污水处理有限公司无废气收集处理设施，厂内废气排放为无组织排放，仅许可污染物排放浓度，无排放总量。废气有关污染物物浓度依照《城镇污水处理厂污染物排放标准》（GB18918-2002）废气排放二级标准执行。</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无组织废气排放监测指标及最低监测频次按照《排污许可证申请与核发技术规范 水处理（试行）》（HJ978-2018）中9.3.1条要求执行。</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排放浓度检测结果依据眉山市派普污水处理有限公司委托的具有相关检测资质的检测机构出具的检测报告。</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具体检测结果如下：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2267"/>
        <w:gridCol w:w="2567"/>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编号</w:t>
            </w:r>
          </w:p>
        </w:tc>
        <w:tc>
          <w:tcPr>
            <w:tcW w:w="22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污染物名称</w:t>
            </w:r>
          </w:p>
        </w:tc>
        <w:tc>
          <w:tcPr>
            <w:tcW w:w="25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检测浓度（平均值）</w:t>
            </w:r>
          </w:p>
        </w:tc>
        <w:tc>
          <w:tcPr>
            <w:tcW w:w="234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1</w:t>
            </w:r>
          </w:p>
        </w:tc>
        <w:tc>
          <w:tcPr>
            <w:tcW w:w="22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硫化氢</w:t>
            </w:r>
          </w:p>
        </w:tc>
        <w:tc>
          <w:tcPr>
            <w:tcW w:w="25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0.002mg/m3</w:t>
            </w:r>
          </w:p>
        </w:tc>
        <w:tc>
          <w:tcPr>
            <w:tcW w:w="234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0.06mg/m3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2</w:t>
            </w:r>
          </w:p>
        </w:tc>
        <w:tc>
          <w:tcPr>
            <w:tcW w:w="22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氨（氨气）</w:t>
            </w:r>
          </w:p>
        </w:tc>
        <w:tc>
          <w:tcPr>
            <w:tcW w:w="25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0.131mg/m3</w:t>
            </w:r>
          </w:p>
        </w:tc>
        <w:tc>
          <w:tcPr>
            <w:tcW w:w="234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1.5mg/m3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3</w:t>
            </w:r>
          </w:p>
        </w:tc>
        <w:tc>
          <w:tcPr>
            <w:tcW w:w="22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臭气浓度</w:t>
            </w:r>
          </w:p>
        </w:tc>
        <w:tc>
          <w:tcPr>
            <w:tcW w:w="25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12（无量纲）</w:t>
            </w:r>
          </w:p>
        </w:tc>
        <w:tc>
          <w:tcPr>
            <w:tcW w:w="234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20（无量纲）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4</w:t>
            </w:r>
          </w:p>
        </w:tc>
        <w:tc>
          <w:tcPr>
            <w:tcW w:w="22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甲烷</w:t>
            </w:r>
          </w:p>
        </w:tc>
        <w:tc>
          <w:tcPr>
            <w:tcW w:w="256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vertAlign w:val="baseline"/>
                <w:lang w:val="en-US" w:eastAsia="zh-CN"/>
              </w:rPr>
              <w:t>0.00023</w:t>
            </w:r>
          </w:p>
        </w:tc>
        <w:tc>
          <w:tcPr>
            <w:tcW w:w="234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sz w:val="24"/>
                <w:lang w:val="en-US" w:eastAsia="zh-CN"/>
              </w:rPr>
            </w:pPr>
            <w:r>
              <w:rPr>
                <w:rFonts w:hint="eastAsia" w:ascii="Times New Roman"/>
                <w:sz w:val="24"/>
                <w:lang w:val="en-US" w:eastAsia="zh-CN"/>
              </w:rPr>
              <w:t>1%</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5.2废水部分排放总量计算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1、设有在线监测设备部分污染物排放总量计算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含化学需氧量、氨氮、总氮、总磷、pH和流量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化学需氧量、氨氮、总氮、总磷、pH装有在线监测设备，相关数据24小时上传重点排污单位自动监控与基础数据库系统库（企业端）。</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依据《排污许可证申请与核发技术规范 水处理（试行）》（HJ978-2018）中第9项实际排放量核算方法第9.2.1条实测法中采用自动监测数据核算的相关要求，化学需氧量、氨氮、总氮、总磷、pH日均排放浓度来自于重点排污单位自控与基础数据系统库（企业端）中导出的2023年报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日均排放水量来自出口流量计每月实际读数平均。</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每月污染物排放核算公式为：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hAnsi="Cambria Math" w:cstheme="minorEastAsia"/>
          <w:bCs w:val="0"/>
          <w:i w:val="0"/>
          <w:iCs w:val="0"/>
          <w:caps w:val="0"/>
          <w:color w:val="auto"/>
          <w:spacing w:val="0"/>
          <w:sz w:val="28"/>
          <w:szCs w:val="28"/>
          <w:lang w:val="en-US" w:eastAsia="zh-CN"/>
        </w:rPr>
      </w:pPr>
      <m:oMathPara>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废水</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nary>
            <m:naryPr>
              <m:chr m:val="∑"/>
              <m:limLoc m:val="undOvr"/>
              <m:ctrlPr>
                <w:rPr>
                  <w:rFonts w:hint="default" w:ascii="Cambria Math" w:hAnsi="Cambria Math"/>
                  <w:sz w:val="24"/>
                  <w:lang w:val="en-US" w:eastAsia="zh-CN"/>
                </w:rPr>
              </m:ctrlPr>
            </m:naryPr>
            <m:sub>
              <m:r>
                <m:rPr>
                  <m:sty m:val="p"/>
                </m:rPr>
                <w:rPr>
                  <w:rFonts w:hint="default" w:ascii="Cambria Math" w:hAnsi="Cambria Math"/>
                  <w:sz w:val="24"/>
                  <w:lang w:val="en-US" w:eastAsia="zh-CN"/>
                </w:rPr>
                <m:t>i=1</m:t>
              </m:r>
              <m:ctrlPr>
                <w:rPr>
                  <w:rFonts w:hint="default" w:ascii="Cambria Math" w:hAnsi="Cambria Math"/>
                  <w:sz w:val="24"/>
                  <w:lang w:val="en-US" w:eastAsia="zh-CN"/>
                </w:rPr>
              </m:ctrlPr>
            </m:sub>
            <m:sup>
              <m:r>
                <m:rPr>
                  <m:sty m:val="p"/>
                </m:rPr>
                <w:rPr>
                  <w:rFonts w:hint="default" w:ascii="Cambria Math" w:hAnsi="Cambria Math"/>
                  <w:sz w:val="24"/>
                  <w:lang w:val="en-US" w:eastAsia="zh-CN"/>
                </w:rPr>
                <m:t>n</m:t>
              </m:r>
              <m:ctrlPr>
                <w:rPr>
                  <w:rFonts w:hint="default" w:ascii="Cambria Math" w:hAnsi="Cambria Math"/>
                  <w:sz w:val="24"/>
                  <w:lang w:val="en-US" w:eastAsia="zh-CN"/>
                </w:rPr>
              </m:ctrlPr>
            </m:sup>
            <m:e>
              <m:d>
                <m:dPr>
                  <m:ctrlPr>
                    <w:rPr>
                      <w:rFonts w:hint="default" w:ascii="Cambria Math" w:hAnsi="Cambria Math"/>
                      <w:sz w:val="24"/>
                      <w:lang w:val="en-US" w:eastAsia="zh-CN"/>
                    </w:rPr>
                  </m:ctrlPr>
                </m:dPr>
                <m:e>
                  <m:sSub>
                    <m:sSubPr>
                      <m:ctrlPr>
                        <w:rPr>
                          <w:rFonts w:hint="default" w:ascii="Cambria Math" w:hAnsi="Cambria Math"/>
                          <w:sz w:val="24"/>
                          <w:lang w:val="en-US" w:eastAsia="zh-CN"/>
                        </w:rPr>
                      </m:ctrlPr>
                    </m:sSubPr>
                    <m:e>
                      <m:r>
                        <m:rPr>
                          <m:sty m:val="p"/>
                        </m:rPr>
                        <w:rPr>
                          <w:rFonts w:hint="default" w:ascii="Cambria Math" w:hAnsi="Cambria Math"/>
                          <w:sz w:val="24"/>
                          <w:lang w:val="en-US" w:eastAsia="zh-CN"/>
                        </w:rPr>
                        <m:t>c</m:t>
                      </m:r>
                      <m:ctrlPr>
                        <w:rPr>
                          <w:rFonts w:hint="default" w:ascii="Cambria Math" w:hAnsi="Cambria Math"/>
                          <w:sz w:val="24"/>
                          <w:lang w:val="en-US" w:eastAsia="zh-CN"/>
                        </w:rPr>
                      </m:ctrlPr>
                    </m:e>
                    <m:sub>
                      <m:r>
                        <m:rPr>
                          <m:sty m:val="p"/>
                        </m:rPr>
                        <w:rPr>
                          <w:rFonts w:hint="default" w:ascii="Cambria Math" w:hAnsi="Cambria Math"/>
                          <w:sz w:val="24"/>
                          <w:lang w:val="en-US" w:eastAsia="zh-CN"/>
                        </w:rPr>
                        <m:t>i</m:t>
                      </m:r>
                      <m:ctrlPr>
                        <w:rPr>
                          <w:rFonts w:hint="default" w:ascii="Cambria Math" w:hAnsi="Cambria Math"/>
                          <w:sz w:val="24"/>
                          <w:lang w:val="en-US" w:eastAsia="zh-CN"/>
                        </w:rPr>
                      </m:ctrlPr>
                    </m:sub>
                  </m:sSub>
                  <m:r>
                    <m:rPr>
                      <m:sty m:val="p"/>
                    </m:rPr>
                    <w:rPr>
                      <w:rFonts w:hint="eastAsia" w:ascii="Cambria Math" w:hAnsi="Cambria Math"/>
                      <w:sz w:val="24"/>
                      <w:lang w:val="en-US" w:eastAsia="zh-CN"/>
                    </w:rPr>
                    <m:t>×</m:t>
                  </m:r>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q</m:t>
                      </m:r>
                      <m:ctrlPr>
                        <w:rPr>
                          <w:rFonts w:hint="eastAsia" w:ascii="Cambria Math" w:hAnsi="Cambria Math"/>
                          <w:sz w:val="24"/>
                          <w:lang w:val="en-US" w:eastAsia="zh-CN"/>
                        </w:rPr>
                      </m:ctrlPr>
                    </m:e>
                    <m:sub>
                      <m:r>
                        <m:rPr>
                          <m:sty m:val="p"/>
                        </m:rPr>
                        <w:rPr>
                          <w:rFonts w:hint="default" w:ascii="Cambria Math" w:hAnsi="Cambria Math"/>
                          <w:sz w:val="24"/>
                          <w:lang w:val="en-US" w:eastAsia="zh-CN"/>
                        </w:rPr>
                        <m:t>i</m:t>
                      </m:r>
                      <m:ctrlPr>
                        <w:rPr>
                          <w:rFonts w:hint="eastAsia" w:ascii="Cambria Math" w:hAnsi="Cambria Math"/>
                          <w:sz w:val="24"/>
                          <w:lang w:val="en-US" w:eastAsia="zh-CN"/>
                        </w:rPr>
                      </m:ctrlPr>
                    </m:sub>
                  </m:sSub>
                  <m:r>
                    <m:rPr>
                      <m:sty m:val="p"/>
                    </m:rPr>
                    <w:rPr>
                      <w:rFonts w:hint="eastAsia" w:ascii="Cambria Math" w:hAnsi="Cambria Math"/>
                      <w:sz w:val="24"/>
                      <w:lang w:val="en-US" w:eastAsia="zh-CN"/>
                    </w:rPr>
                    <m:t>×</m:t>
                  </m:r>
                  <m:sSup>
                    <m:sSupPr>
                      <m:ctrlPr>
                        <w:rPr>
                          <w:rFonts w:hint="eastAsia" w:ascii="Cambria Math" w:hAnsi="Cambria Math"/>
                          <w:sz w:val="24"/>
                          <w:lang w:val="en-US" w:eastAsia="zh-CN"/>
                        </w:rPr>
                      </m:ctrlPr>
                    </m:sSupPr>
                    <m:e>
                      <m:r>
                        <m:rPr>
                          <m:sty m:val="p"/>
                        </m:rPr>
                        <w:rPr>
                          <w:rFonts w:hint="default" w:ascii="Cambria Math" w:hAnsi="Cambria Math"/>
                          <w:sz w:val="24"/>
                          <w:lang w:val="en-US" w:eastAsia="zh-CN"/>
                        </w:rPr>
                        <m:t>10</m:t>
                      </m:r>
                      <m:ctrlPr>
                        <w:rPr>
                          <w:rFonts w:hint="eastAsia" w:ascii="Cambria Math" w:hAnsi="Cambria Math"/>
                          <w:sz w:val="24"/>
                          <w:lang w:val="en-US" w:eastAsia="zh-CN"/>
                        </w:rPr>
                      </m:ctrlPr>
                    </m:e>
                    <m:sup>
                      <m:r>
                        <m:rPr>
                          <m:sty m:val="p"/>
                        </m:rPr>
                        <w:rPr>
                          <w:rFonts w:hint="default" w:ascii="Cambria Math" w:hAnsi="Cambria Math"/>
                          <w:sz w:val="24"/>
                          <w:lang w:val="en-US" w:eastAsia="zh-CN"/>
                        </w:rPr>
                        <m:t>−6</m:t>
                      </m:r>
                      <m:ctrlPr>
                        <w:rPr>
                          <w:rFonts w:hint="eastAsia" w:ascii="Cambria Math" w:hAnsi="Cambria Math"/>
                          <w:sz w:val="24"/>
                          <w:lang w:val="en-US" w:eastAsia="zh-CN"/>
                        </w:rPr>
                      </m:ctrlPr>
                    </m:sup>
                  </m:sSup>
                  <m:r>
                    <m:rPr>
                      <m:sty m:val="p"/>
                    </m:rPr>
                    <w:rPr>
                      <w:rFonts w:hint="eastAsia" w:ascii="Cambria Math" w:hAnsi="Cambria Math"/>
                      <w:sz w:val="24"/>
                      <w:lang w:val="en-US" w:eastAsia="zh-CN"/>
                    </w:rPr>
                    <m:t>×</m:t>
                  </m:r>
                  <m:r>
                    <m:rPr>
                      <m:sty m:val="p"/>
                    </m:rPr>
                    <w:rPr>
                      <w:rFonts w:hint="default" w:ascii="Cambria Math" w:hAnsi="Cambria Math"/>
                      <w:sz w:val="24"/>
                      <w:lang w:val="en-US" w:eastAsia="zh-CN"/>
                    </w:rPr>
                    <m:t>T</m:t>
                  </m:r>
                  <m:ctrlPr>
                    <w:rPr>
                      <w:rFonts w:hint="default" w:ascii="Cambria Math" w:hAnsi="Cambria Math"/>
                      <w:sz w:val="24"/>
                      <w:lang w:val="en-US" w:eastAsia="zh-CN"/>
                    </w:rPr>
                  </m:ctrlPr>
                </m:e>
              </m:d>
              <m:ctrlPr>
                <w:rPr>
                  <w:rFonts w:hint="default" w:ascii="Cambria Math" w:hAnsi="Cambria Math"/>
                  <w:sz w:val="24"/>
                  <w:lang w:val="en-US" w:eastAsia="zh-CN"/>
                </w:rPr>
              </m:ctrlPr>
            </m:e>
          </m:nary>
        </m:oMath>
      </m:oMathPara>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式中：</w:t>
      </w: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废水</m:t>
            </m:r>
            <m:ctrlPr>
              <w:rPr>
                <w:rFonts w:hint="eastAsia" w:ascii="Cambria Math" w:hAnsi="Cambria Math"/>
                <w:sz w:val="24"/>
                <w:lang w:val="en-US" w:eastAsia="zh-CN"/>
              </w:rPr>
            </m:ctrlPr>
          </m:sub>
        </m:sSub>
      </m:oMath>
      <w:r>
        <w:rPr>
          <w:rFonts w:hint="eastAsia" w:ascii="Times New Roman"/>
          <w:sz w:val="24"/>
          <w:lang w:val="en-US" w:eastAsia="zh-CN"/>
        </w:rPr>
        <w:t>—核算时段内排放口污染物的实际排放量，t；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1440" w:firstLineChars="6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c</m:t>
            </m:r>
            <m:ctrlPr>
              <w:rPr>
                <w:rFonts w:hint="eastAsia" w:ascii="Cambria Math" w:hAnsi="Cambria Math"/>
                <w:sz w:val="24"/>
                <w:lang w:val="en-US" w:eastAsia="zh-CN"/>
              </w:rPr>
            </m:ctrlPr>
          </m:e>
          <m:sub>
            <m:r>
              <m:rPr>
                <m:sty m:val="p"/>
              </m:rPr>
              <w:rPr>
                <w:rFonts w:hint="default" w:ascii="Cambria Math" w:hAnsi="Cambria Math"/>
                <w:sz w:val="24"/>
                <w:lang w:val="en-US" w:eastAsia="zh-CN"/>
              </w:rPr>
              <m:t>i</m:t>
            </m:r>
            <m:ctrlPr>
              <w:rPr>
                <w:rFonts w:hint="eastAsia" w:ascii="Cambria Math" w:hAnsi="Cambria Math"/>
                <w:sz w:val="24"/>
                <w:lang w:val="en-US" w:eastAsia="zh-CN"/>
              </w:rPr>
            </m:ctrlPr>
          </m:sub>
        </m:sSub>
      </m:oMath>
      <w:r>
        <w:rPr>
          <w:rFonts w:hint="eastAsia" w:ascii="Times New Roman"/>
          <w:sz w:val="24"/>
          <w:lang w:val="en-US" w:eastAsia="zh-CN"/>
        </w:rPr>
        <w:t>—污染物在各月的实际平均排放浓度，mg/L；</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1440" w:firstLineChars="6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q</m:t>
            </m:r>
            <m:ctrlPr>
              <w:rPr>
                <w:rFonts w:hint="eastAsia" w:ascii="Cambria Math" w:hAnsi="Cambria Math"/>
                <w:sz w:val="24"/>
                <w:lang w:val="en-US" w:eastAsia="zh-CN"/>
              </w:rPr>
            </m:ctrlPr>
          </m:e>
          <m:sub>
            <m:r>
              <m:rPr>
                <m:sty m:val="p"/>
              </m:rPr>
              <w:rPr>
                <w:rFonts w:hint="default" w:ascii="Cambria Math" w:hAnsi="Cambria Math"/>
                <w:sz w:val="24"/>
                <w:lang w:val="en-US" w:eastAsia="zh-CN"/>
              </w:rPr>
              <m:t>i</m:t>
            </m:r>
            <m:ctrlPr>
              <w:rPr>
                <w:rFonts w:hint="eastAsia" w:ascii="Cambria Math" w:hAnsi="Cambria Math"/>
                <w:sz w:val="24"/>
                <w:lang w:val="en-US" w:eastAsia="zh-CN"/>
              </w:rPr>
            </m:ctrlPr>
          </m:sub>
        </m:sSub>
      </m:oMath>
      <w:r>
        <w:rPr>
          <w:rFonts w:hint="eastAsia" w:ascii="Times New Roman"/>
          <w:sz w:val="24"/>
          <w:lang w:val="en-US" w:eastAsia="zh-CN"/>
        </w:rPr>
        <w:t>—各月的日平均流量，m3/d；</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1440" w:firstLineChars="600"/>
        <w:textAlignment w:val="auto"/>
        <w:rPr>
          <w:rFonts w:hint="eastAsia" w:ascii="Times New Roman"/>
          <w:sz w:val="24"/>
          <w:lang w:val="en-US" w:eastAsia="zh-CN"/>
        </w:rPr>
      </w:pPr>
      <m:oMath>
        <m:r>
          <m:rPr>
            <m:sty m:val="p"/>
          </m:rPr>
          <w:rPr>
            <w:rFonts w:hint="default" w:ascii="Cambria Math" w:hAnsi="Cambria Math"/>
            <w:sz w:val="24"/>
            <w:lang w:val="en-US" w:eastAsia="zh-CN"/>
          </w:rPr>
          <m:t>T</m:t>
        </m:r>
      </m:oMath>
      <w:r>
        <w:rPr>
          <w:rFonts w:hint="eastAsia" w:ascii="Times New Roman"/>
          <w:sz w:val="24"/>
          <w:lang w:val="en-US" w:eastAsia="zh-CN"/>
        </w:rPr>
        <w:t>—监测时间段内排放口累计运行时间，d。</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 xml:space="preserve">        </w:t>
      </w:r>
      <m:oMath>
        <m:r>
          <m:rPr>
            <m:sty m:val="p"/>
          </m:rPr>
          <w:rPr>
            <w:rFonts w:hint="default" w:ascii="Cambria Math" w:hAnsi="Cambria Math"/>
            <w:sz w:val="24"/>
            <w:lang w:val="en-US" w:eastAsia="zh-CN"/>
          </w:rPr>
          <m:t>n</m:t>
        </m:r>
      </m:oMath>
      <w:r>
        <w:rPr>
          <w:rFonts w:hint="eastAsia" w:ascii="Times New Roman"/>
          <w:sz w:val="24"/>
          <w:lang w:val="en-US" w:eastAsia="zh-CN"/>
        </w:rPr>
        <w:t>—核算时间段内的污染物排放时间。</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实际排放量为该季度每个月排放总量的和。</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根据上述公式计算各污染物排放量如下：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（1）化学需氧量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2023年度各月化学需氧量排放情况如下</w:t>
      </w:r>
    </w:p>
    <w:tbl>
      <w:tblPr>
        <w:tblStyle w:val="1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6912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7185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8088</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10325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10184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10081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12684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10437</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9462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9.631</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则2023年度化学需氧量实际排放量为：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560" w:firstLineChars="200"/>
        <w:textAlignment w:val="auto"/>
        <w:rPr>
          <w:rFonts w:hint="default" w:ascii="Cambria Math" w:hAnsi="Cambria Math" w:cstheme="minorEastAsia"/>
          <w:bCs w:val="0"/>
          <w:i/>
          <w:iCs w:val="0"/>
          <w:caps w:val="0"/>
          <w:color w:val="auto"/>
          <w:spacing w:val="0"/>
          <w:sz w:val="28"/>
          <w:szCs w:val="28"/>
          <w:lang w:val="en-US" w:eastAsia="zh-CN"/>
        </w:rPr>
      </w:pPr>
      <m:oMath>
        <m:sSub>
          <m:sSubPr>
            <m:ctrlPr>
              <w:rPr>
                <w:rFonts w:ascii="Cambria Math" w:hAnsi="Cambria Math" w:cstheme="minorEastAsia"/>
                <w:bCs w:val="0"/>
                <w:i/>
                <w:iCs w:val="0"/>
                <w:caps w:val="0"/>
                <w:color w:val="auto"/>
                <w:spacing w:val="0"/>
                <w:sz w:val="28"/>
                <w:szCs w:val="28"/>
                <w:lang w:val="en-US"/>
              </w:rPr>
            </m:ctrlPr>
          </m:sSubPr>
          <m:e>
            <m:r>
              <m:rPr/>
              <w:rPr>
                <w:rFonts w:hint="default" w:ascii="Cambria Math" w:hAnsi="Cambria Math" w:cstheme="minorEastAsia"/>
                <w:caps w:val="0"/>
                <w:color w:val="auto"/>
                <w:spacing w:val="0"/>
                <w:sz w:val="28"/>
                <w:szCs w:val="28"/>
                <w:lang w:val="en-US" w:eastAsia="zh-CN"/>
              </w:rPr>
              <m:t>E</m:t>
            </m:r>
            <m:ctrlPr>
              <w:rPr>
                <w:rFonts w:ascii="Cambria Math" w:hAnsi="Cambria Math" w:cstheme="minorEastAsia"/>
                <w:bCs w:val="0"/>
                <w:i/>
                <w:iCs w:val="0"/>
                <w:caps w:val="0"/>
                <w:color w:val="auto"/>
                <w:spacing w:val="0"/>
                <w:sz w:val="28"/>
                <w:szCs w:val="28"/>
                <w:lang w:val="en-US"/>
              </w:rPr>
            </m:ctrlPr>
          </m:e>
          <m:sub>
            <m:r>
              <m:rPr/>
              <w:rPr>
                <w:rFonts w:hint="default" w:ascii="Cambria Math" w:hAnsi="Cambria Math" w:cstheme="minorEastAsia"/>
                <w:caps w:val="0"/>
                <w:color w:val="auto"/>
                <w:spacing w:val="0"/>
                <w:sz w:val="28"/>
                <w:szCs w:val="28"/>
                <w:lang w:val="en-US" w:eastAsia="zh-CN"/>
              </w:rPr>
              <m:t>化学需氧量</m:t>
            </m:r>
            <m:ctrlPr>
              <w:rPr>
                <w:rFonts w:ascii="Cambria Math" w:hAnsi="Cambria Math" w:cstheme="minorEastAsia"/>
                <w:bCs w:val="0"/>
                <w:i/>
                <w:iCs w:val="0"/>
                <w:caps w:val="0"/>
                <w:color w:val="auto"/>
                <w:spacing w:val="0"/>
                <w:sz w:val="28"/>
                <w:szCs w:val="28"/>
                <w:lang w:val="en-US"/>
              </w:rPr>
            </m:ctrlPr>
          </m:sub>
        </m:sSub>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8.9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10.49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7.13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7.747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10.172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12.049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oMath>
      <w:r>
        <w:rPr>
          <w:rFonts w:hint="eastAsia" w:hAnsi="Cambria Math" w:cstheme="minorEastAsia"/>
          <w:b w:val="0"/>
          <w:bCs w:val="0"/>
          <w:i w:val="0"/>
          <w:iCs/>
          <w:caps w:val="0"/>
          <w:color w:val="auto"/>
          <w:spacing w:val="0"/>
          <w:sz w:val="28"/>
          <w:szCs w:val="28"/>
          <w:lang w:val="en-US" w:eastAsia="zh-CN"/>
        </w:rPr>
        <w:t>+</w:t>
      </w:r>
      <w:r>
        <w:rPr>
          <w:rFonts w:hint="eastAsia" w:hAnsi="Cambria Math" w:cstheme="minorEastAsia"/>
          <w:bCs w:val="0"/>
          <w:i w:val="0"/>
          <w:iCs w:val="0"/>
          <w:caps w:val="0"/>
          <w:color w:val="auto"/>
          <w:spacing w:val="0"/>
          <w:sz w:val="28"/>
          <w:szCs w:val="28"/>
          <w:lang w:val="en-US" w:eastAsia="zh-CN"/>
        </w:rPr>
        <w:t>10325</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9.377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default" w:hAnsi="Cambria Math" w:cstheme="minorEastAsia"/>
          <w:i w:val="0"/>
          <w:caps w:val="0"/>
          <w:color w:val="auto"/>
          <w:spacing w:val="0"/>
          <w:sz w:val="28"/>
          <w:szCs w:val="28"/>
          <w:lang w:eastAsia="zh-CN"/>
        </w:rPr>
        <w:t>10184</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8.641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bCs w:val="0"/>
          <w:i w:val="0"/>
          <w:iCs w:val="0"/>
          <w:caps w:val="0"/>
          <w:color w:val="auto"/>
          <w:spacing w:val="0"/>
          <w:sz w:val="28"/>
          <w:szCs w:val="28"/>
          <w:lang w:val="en-US" w:eastAsia="zh-CN"/>
        </w:rPr>
        <w:t>+10081</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7.283</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30+</w:t>
      </w:r>
      <w:r>
        <w:rPr>
          <w:rFonts w:hint="eastAsia" w:hAnsi="Cambria Math" w:cstheme="minorEastAsia"/>
          <w:bCs w:val="0"/>
          <w:i w:val="0"/>
          <w:iCs w:val="0"/>
          <w:caps w:val="0"/>
          <w:color w:val="auto"/>
          <w:spacing w:val="0"/>
          <w:sz w:val="28"/>
          <w:szCs w:val="28"/>
          <w:lang w:val="en-US" w:eastAsia="zh-CN"/>
        </w:rPr>
        <w:t>12627</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6.914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i w:val="0"/>
          <w:caps w:val="0"/>
          <w:color w:val="auto"/>
          <w:spacing w:val="0"/>
          <w:sz w:val="28"/>
          <w:szCs w:val="28"/>
          <w:lang w:eastAsia="zh-CN"/>
        </w:rPr>
        <w:t>10437</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9.841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bCs w:val="0"/>
          <w:i w:val="0"/>
          <w:iCs w:val="0"/>
          <w:caps w:val="0"/>
          <w:color w:val="auto"/>
          <w:spacing w:val="0"/>
          <w:sz w:val="28"/>
          <w:szCs w:val="28"/>
          <w:lang w:val="en-US" w:eastAsia="zh-CN"/>
        </w:rPr>
        <w:t>+9462</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9.631</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30=26.833t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（2）氨氮</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2023年度各月氨氮排放情况如下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6912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7185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8088</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10325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10184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10081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12684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10437</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9462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0.192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则2023年度氨氮实际排放量为：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560" w:firstLineChars="200"/>
        <w:textAlignment w:val="auto"/>
        <w:rPr>
          <w:rFonts w:hint="eastAsia" w:ascii="Times New Roman"/>
          <w:sz w:val="24"/>
          <w:lang w:val="en-US" w:eastAsia="zh-CN"/>
        </w:rPr>
      </w:pPr>
      <m:oMath>
        <m:sSub>
          <m:sSubPr>
            <m:ctrlPr>
              <w:rPr>
                <w:rFonts w:ascii="Cambria Math" w:hAnsi="Cambria Math" w:cstheme="minorEastAsia"/>
                <w:bCs w:val="0"/>
                <w:i/>
                <w:iCs w:val="0"/>
                <w:caps w:val="0"/>
                <w:color w:val="auto"/>
                <w:spacing w:val="0"/>
                <w:sz w:val="28"/>
                <w:szCs w:val="28"/>
                <w:lang w:val="en-US"/>
              </w:rPr>
            </m:ctrlPr>
          </m:sSubPr>
          <m:e>
            <m:r>
              <m:rPr/>
              <w:rPr>
                <w:rFonts w:hint="default" w:ascii="Cambria Math" w:hAnsi="Cambria Math" w:cstheme="minorEastAsia"/>
                <w:caps w:val="0"/>
                <w:color w:val="auto"/>
                <w:spacing w:val="0"/>
                <w:sz w:val="28"/>
                <w:szCs w:val="28"/>
                <w:lang w:val="en-US" w:eastAsia="zh-CN"/>
              </w:rPr>
              <m:t>E</m:t>
            </m:r>
            <m:ctrlPr>
              <w:rPr>
                <w:rFonts w:ascii="Cambria Math" w:hAnsi="Cambria Math" w:cstheme="minorEastAsia"/>
                <w:bCs w:val="0"/>
                <w:i/>
                <w:iCs w:val="0"/>
                <w:caps w:val="0"/>
                <w:color w:val="auto"/>
                <w:spacing w:val="0"/>
                <w:sz w:val="28"/>
                <w:szCs w:val="28"/>
                <w:lang w:val="en-US"/>
              </w:rPr>
            </m:ctrlPr>
          </m:e>
          <m:sub>
            <m:r>
              <m:rPr/>
              <w:rPr>
                <w:rFonts w:hint="default" w:ascii="Cambria Math" w:hAnsi="Cambria Math" w:cstheme="minorEastAsia"/>
                <w:caps w:val="0"/>
                <w:color w:val="auto"/>
                <w:spacing w:val="0"/>
                <w:sz w:val="28"/>
                <w:szCs w:val="28"/>
                <w:lang w:val="en-US" w:eastAsia="zh-CN"/>
              </w:rPr>
              <m:t>氨氮</m:t>
            </m:r>
            <m:ctrlPr>
              <w:rPr>
                <w:rFonts w:ascii="Cambria Math" w:hAnsi="Cambria Math" w:cstheme="minorEastAsia"/>
                <w:bCs w:val="0"/>
                <w:i/>
                <w:iCs w:val="0"/>
                <w:caps w:val="0"/>
                <w:color w:val="auto"/>
                <w:spacing w:val="0"/>
                <w:sz w:val="28"/>
                <w:szCs w:val="28"/>
                <w:lang w:val="en-US"/>
              </w:rPr>
            </m:ctrlPr>
          </m:sub>
        </m:sSub>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0.207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0.209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0.173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0.190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0.143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hint="default" w:ascii="Cambria Math" w:hAnsi="Cambria Math" w:cstheme="minorEastAsia"/>
            <w:caps w:val="0"/>
            <w:color w:val="auto"/>
            <w:spacing w:val="0"/>
            <w:sz w:val="28"/>
            <w:szCs w:val="28"/>
            <w:lang w:val="en-US" w:eastAsia="zh-CN"/>
          </w:rPr>
          <m:t>131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0.176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0.304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0.177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0.192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oMath>
      <w:r>
        <w:rPr>
          <w:rFonts w:hint="eastAsia" w:hAnsi="Cambria Math" w:cstheme="minorEastAsia"/>
          <w:i w:val="0"/>
          <w:caps w:val="0"/>
          <w:color w:val="auto"/>
          <w:spacing w:val="0"/>
          <w:sz w:val="28"/>
          <w:szCs w:val="28"/>
          <w:lang w:val="en-US" w:eastAsia="zh-CN"/>
        </w:rPr>
        <w:t>=0.556</w:t>
      </w:r>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（3）总氮</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2023年度各月总氮排放情况如下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6912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7185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8088</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10325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10184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10081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12684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10437</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9462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10.367</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则2023年度总氮实际排放量为：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总氮</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5.679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9.955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10.389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m:t>
        </m:r>
      </m:oMath>
      <w:r>
        <w:rPr>
          <w:rFonts w:hint="eastAsia" w:hAnsi="Cambria Math" w:cstheme="minorEastAsia"/>
          <w:i w:val="0"/>
          <w:caps w:val="0"/>
          <w:color w:val="auto"/>
          <w:spacing w:val="0"/>
          <w:sz w:val="28"/>
          <w:szCs w:val="28"/>
          <w:lang w:val="en-US" w:eastAsia="zh-CN"/>
        </w:rPr>
        <w:t>+</w:t>
      </w:r>
      <m:oMath>
        <m:r>
          <m:rPr/>
          <w:rPr>
            <w:rFonts w:hint="default" w:ascii="Cambria Math" w:hAnsi="Cambria Math" w:cstheme="minorEastAsia"/>
            <w:caps w:val="0"/>
            <w:color w:val="auto"/>
            <w:spacing w:val="0"/>
            <w:sz w:val="28"/>
            <w:szCs w:val="28"/>
            <w:lang w:val="en-US" w:eastAsia="zh-CN"/>
          </w:rPr>
          <m:t>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9.842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11.162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7.559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oMath>
      <w:r>
        <w:rPr>
          <w:rFonts w:hint="eastAsia" w:hAnsi="Cambria Math" w:cstheme="minorEastAsia"/>
          <w:i w:val="0"/>
          <w:caps w:val="0"/>
          <w:color w:val="auto"/>
          <w:spacing w:val="0"/>
          <w:sz w:val="28"/>
          <w:szCs w:val="28"/>
          <w:lang w:val="en-US" w:eastAsia="zh-CN"/>
        </w:rPr>
        <w:t>+</w:t>
      </w:r>
      <w:r>
        <w:rPr>
          <w:rFonts w:hint="eastAsia" w:hAnsi="Cambria Math" w:cstheme="minorEastAsia"/>
          <w:bCs w:val="0"/>
          <w:i w:val="0"/>
          <w:iCs w:val="0"/>
          <w:caps w:val="0"/>
          <w:color w:val="auto"/>
          <w:spacing w:val="0"/>
          <w:sz w:val="28"/>
          <w:szCs w:val="28"/>
          <w:lang w:val="en-US" w:eastAsia="zh-CN"/>
        </w:rPr>
        <w:t>10325</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10.107</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default" w:hAnsi="Cambria Math" w:cstheme="minorEastAsia"/>
          <w:i w:val="0"/>
          <w:caps w:val="0"/>
          <w:color w:val="auto"/>
          <w:spacing w:val="0"/>
          <w:sz w:val="28"/>
          <w:szCs w:val="28"/>
          <w:lang w:eastAsia="zh-CN"/>
        </w:rPr>
        <w:t>10184</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10.025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bCs w:val="0"/>
          <w:i w:val="0"/>
          <w:iCs w:val="0"/>
          <w:caps w:val="0"/>
          <w:color w:val="auto"/>
          <w:spacing w:val="0"/>
          <w:sz w:val="28"/>
          <w:szCs w:val="28"/>
          <w:lang w:val="en-US" w:eastAsia="zh-CN"/>
        </w:rPr>
        <w:t>+10081</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10.183</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30+</w:t>
      </w:r>
      <w:r>
        <w:rPr>
          <w:rFonts w:hint="eastAsia" w:hAnsi="Cambria Math" w:cstheme="minorEastAsia"/>
          <w:bCs w:val="0"/>
          <w:i w:val="0"/>
          <w:iCs w:val="0"/>
          <w:caps w:val="0"/>
          <w:color w:val="auto"/>
          <w:spacing w:val="0"/>
          <w:sz w:val="28"/>
          <w:szCs w:val="28"/>
          <w:lang w:val="en-US" w:eastAsia="zh-CN"/>
        </w:rPr>
        <w:t>12627</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9.611</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i w:val="0"/>
          <w:caps w:val="0"/>
          <w:color w:val="auto"/>
          <w:spacing w:val="0"/>
          <w:sz w:val="28"/>
          <w:szCs w:val="28"/>
          <w:lang w:eastAsia="zh-CN"/>
        </w:rPr>
        <w:t>10437</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11.132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bCs w:val="0"/>
          <w:i w:val="0"/>
          <w:iCs w:val="0"/>
          <w:caps w:val="0"/>
          <w:color w:val="auto"/>
          <w:spacing w:val="0"/>
          <w:sz w:val="28"/>
          <w:szCs w:val="28"/>
          <w:lang w:val="en-US" w:eastAsia="zh-CN"/>
        </w:rPr>
        <w:t>+9462</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10.367</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30=30.333</w:t>
      </w:r>
      <w:r>
        <w:rPr>
          <w:rFonts w:hint="eastAsia" w:ascii="Times New Roman"/>
          <w:sz w:val="24"/>
          <w:lang w:val="en-US" w:eastAsia="zh-CN"/>
        </w:rPr>
        <w:t xml:space="preserve">t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（4）总磷</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2023年度各月总磷排放情况如下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6912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7185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8088</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10325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10184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10081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12684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10437</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9462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0.265</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则2023年度总磷实际排放量为：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总磷</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0.119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0.131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0.22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hint="default" w:ascii="Cambria Math" w:hAnsi="Cambria Math" w:cstheme="minorEastAsia"/>
            <w:caps w:val="0"/>
            <w:color w:val="auto"/>
            <w:spacing w:val="0"/>
            <w:sz w:val="28"/>
            <w:szCs w:val="28"/>
            <w:lang w:val="en-US" w:eastAsia="zh-CN"/>
          </w:rPr>
          <m:t>272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0.253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0.194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oMath>
      <w:r>
        <w:rPr>
          <w:rFonts w:hint="eastAsia" w:hAnsi="Cambria Math" w:cstheme="minorEastAsia"/>
          <w:i w:val="0"/>
          <w:caps w:val="0"/>
          <w:color w:val="auto"/>
          <w:spacing w:val="0"/>
          <w:sz w:val="28"/>
          <w:szCs w:val="28"/>
          <w:lang w:val="en-US" w:eastAsia="zh-CN"/>
        </w:rPr>
        <w:t>+</w:t>
      </w:r>
      <w:r>
        <w:rPr>
          <w:rFonts w:hint="eastAsia" w:hAnsi="Cambria Math" w:cstheme="minorEastAsia"/>
          <w:bCs w:val="0"/>
          <w:i w:val="0"/>
          <w:iCs w:val="0"/>
          <w:caps w:val="0"/>
          <w:color w:val="auto"/>
          <w:spacing w:val="0"/>
          <w:sz w:val="28"/>
          <w:szCs w:val="28"/>
          <w:lang w:val="en-US" w:eastAsia="zh-CN"/>
        </w:rPr>
        <w:t>12627</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0.209</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i w:val="0"/>
          <w:caps w:val="0"/>
          <w:color w:val="auto"/>
          <w:spacing w:val="0"/>
          <w:sz w:val="28"/>
          <w:szCs w:val="28"/>
          <w:lang w:eastAsia="zh-CN"/>
        </w:rPr>
        <w:t>10437</w:t>
      </w:r>
      <m:oMath>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0.201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31</w:t>
      </w:r>
      <w:r>
        <w:rPr>
          <w:rFonts w:hint="eastAsia" w:hAnsi="Cambria Math" w:cstheme="minorEastAsia"/>
          <w:bCs w:val="0"/>
          <w:i w:val="0"/>
          <w:iCs w:val="0"/>
          <w:caps w:val="0"/>
          <w:color w:val="auto"/>
          <w:spacing w:val="0"/>
          <w:sz w:val="28"/>
          <w:szCs w:val="28"/>
          <w:lang w:val="en-US" w:eastAsia="zh-CN"/>
        </w:rPr>
        <w:t>+9462</w:t>
      </w:r>
      <m:oMath>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0.265</w:t>
      </w:r>
      <m:oMath>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oMath>
      <w:r>
        <w:rPr>
          <w:rFonts w:hint="eastAsia" w:hAnsi="Cambria Math" w:cstheme="minorEastAsia"/>
          <w:i w:val="0"/>
          <w:caps w:val="0"/>
          <w:color w:val="auto"/>
          <w:spacing w:val="0"/>
          <w:sz w:val="28"/>
          <w:szCs w:val="28"/>
          <w:lang w:val="en-US" w:eastAsia="zh-CN"/>
        </w:rPr>
        <w:t>30=0.629</w:t>
      </w:r>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（5）pH</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2023年度各月pH排放情况如下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6912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7185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8088</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7.323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7.205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7.100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12684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10437</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9462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8.063</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因pH无量纲，不再计算排放总量。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各污染物实际排放量计算结果汇总如下：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default" w:ascii="Times New Roman"/>
          <w:sz w:val="24"/>
          <w:lang w:val="en-US" w:eastAsia="zh-CN"/>
        </w:rPr>
        <w:sectPr>
          <w:pgSz w:w="11906" w:h="16838"/>
          <w:pgMar w:top="1440" w:right="1800" w:bottom="1440" w:left="1800" w:header="851" w:footer="992" w:gutter="0"/>
          <w:cols w:space="425" w:num="1"/>
          <w:docGrid w:type="lines" w:linePitch="312" w:charSpace="0"/>
        </w:sect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center"/>
        <w:textAlignment w:val="auto"/>
        <w:rPr>
          <w:rFonts w:hint="default" w:ascii="Times New Roman"/>
          <w:sz w:val="24"/>
          <w:lang w:val="en-US" w:eastAsia="zh-CN"/>
        </w:rPr>
      </w:pPr>
      <w:r>
        <w:rPr>
          <w:rFonts w:hint="eastAsia" w:ascii="Times New Roman"/>
          <w:sz w:val="24"/>
          <w:lang w:val="en-US" w:eastAsia="zh-CN"/>
        </w:rPr>
        <w:t>眉山市派普污水处理有限公司2023年度自动监测部分污染物实际排放量</w:t>
      </w:r>
    </w:p>
    <w:tbl>
      <w:tblPr>
        <w:tblStyle w:val="11"/>
        <w:tblW w:w="12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4"/>
        <w:gridCol w:w="1728"/>
        <w:gridCol w:w="1728"/>
        <w:gridCol w:w="1728"/>
        <w:gridCol w:w="1728"/>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污染物项目</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流量</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化学需氧量</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氨氮</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总氮</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总磷</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72557</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0.646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0.026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0.412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0.008</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139557</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1.464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0.030</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1.393</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206770</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1.473</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2.148</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207359</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1.659</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0.039</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2.04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0.022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222722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2.265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0.031</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2.486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0.029</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242652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2.924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1.844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0.053</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7月排放总量（t）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320083</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3.001</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0.042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3.235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0.087</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315714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2.671</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0.042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3.235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0.087</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302422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2.203</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0.042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3.235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t>0.087</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393199</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2.698</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0.122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3.774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0.082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313102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3.004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0.055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3.490</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0.064</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12月排放总量（t）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293322</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2.825</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0.056</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3.041</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0.078</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2023年合计（t）</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3029459</w:t>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fldChar w:fldCharType="begin"/>
            </w:r>
            <w:r>
              <w:rPr>
                <w:rFonts w:hint="default" w:ascii="Times New Roman"/>
                <w:sz w:val="24"/>
                <w:lang w:val="en-US" w:eastAsia="zh-CN"/>
              </w:rPr>
              <w:instrText xml:space="preserve"> = sum(C2:C13) \* MERGEFORMAT </w:instrText>
            </w:r>
            <w:r>
              <w:rPr>
                <w:rFonts w:hint="default" w:ascii="Times New Roman"/>
                <w:sz w:val="24"/>
                <w:lang w:val="en-US" w:eastAsia="zh-CN"/>
              </w:rPr>
              <w:fldChar w:fldCharType="separate"/>
            </w:r>
            <w:r>
              <w:rPr>
                <w:rFonts w:hint="default" w:ascii="Times New Roman"/>
                <w:sz w:val="24"/>
                <w:lang w:val="en-US" w:eastAsia="zh-CN"/>
              </w:rPr>
              <w:t>26.833</w:t>
            </w:r>
            <w:r>
              <w:rPr>
                <w:rFonts w:hint="default" w:ascii="Times New Roman"/>
                <w:sz w:val="24"/>
                <w:lang w:val="en-US" w:eastAsia="zh-CN"/>
              </w:rPr>
              <w:fldChar w:fldCharType="end"/>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fldChar w:fldCharType="begin"/>
            </w:r>
            <w:r>
              <w:rPr>
                <w:rFonts w:hint="default" w:ascii="Times New Roman"/>
                <w:sz w:val="24"/>
                <w:lang w:val="en-US" w:eastAsia="zh-CN"/>
              </w:rPr>
              <w:instrText xml:space="preserve"> = sum(D2:D13) \* MERGEFORMAT </w:instrText>
            </w:r>
            <w:r>
              <w:rPr>
                <w:rFonts w:hint="default" w:ascii="Times New Roman"/>
                <w:sz w:val="24"/>
                <w:lang w:val="en-US" w:eastAsia="zh-CN"/>
              </w:rPr>
              <w:fldChar w:fldCharType="separate"/>
            </w:r>
            <w:r>
              <w:rPr>
                <w:rFonts w:hint="default" w:ascii="Times New Roman"/>
                <w:sz w:val="24"/>
                <w:lang w:val="en-US" w:eastAsia="zh-CN"/>
              </w:rPr>
              <w:t>0.556</w:t>
            </w:r>
            <w:r>
              <w:rPr>
                <w:rFonts w:hint="default" w:ascii="Times New Roman"/>
                <w:sz w:val="24"/>
                <w:lang w:val="en-US" w:eastAsia="zh-CN"/>
              </w:rPr>
              <w:fldChar w:fldCharType="end"/>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fldChar w:fldCharType="begin"/>
            </w:r>
            <w:r>
              <w:rPr>
                <w:rFonts w:hint="default" w:ascii="Times New Roman"/>
                <w:sz w:val="24"/>
                <w:lang w:val="en-US" w:eastAsia="zh-CN"/>
              </w:rPr>
              <w:instrText xml:space="preserve"> = sum(E2:E13) \* MERGEFORMAT </w:instrText>
            </w:r>
            <w:r>
              <w:rPr>
                <w:rFonts w:hint="default" w:ascii="Times New Roman"/>
                <w:sz w:val="24"/>
                <w:lang w:val="en-US" w:eastAsia="zh-CN"/>
              </w:rPr>
              <w:fldChar w:fldCharType="separate"/>
            </w:r>
            <w:r>
              <w:rPr>
                <w:rFonts w:hint="default" w:ascii="Times New Roman"/>
                <w:sz w:val="24"/>
                <w:lang w:val="en-US" w:eastAsia="zh-CN"/>
              </w:rPr>
              <w:t>30.333</w:t>
            </w:r>
            <w:r>
              <w:rPr>
                <w:rFonts w:hint="default" w:ascii="Times New Roman"/>
                <w:sz w:val="24"/>
                <w:lang w:val="en-US" w:eastAsia="zh-CN"/>
              </w:rPr>
              <w:fldChar w:fldCharType="end"/>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default" w:ascii="Times New Roman"/>
                <w:sz w:val="24"/>
                <w:lang w:val="en-US" w:eastAsia="zh-CN"/>
              </w:rPr>
              <w:fldChar w:fldCharType="begin"/>
            </w:r>
            <w:r>
              <w:rPr>
                <w:rFonts w:hint="default" w:ascii="Times New Roman"/>
                <w:sz w:val="24"/>
                <w:lang w:val="en-US" w:eastAsia="zh-CN"/>
              </w:rPr>
              <w:instrText xml:space="preserve"> = sum(F2:F13) \* MERGEFORMAT </w:instrText>
            </w:r>
            <w:r>
              <w:rPr>
                <w:rFonts w:hint="default" w:ascii="Times New Roman"/>
                <w:sz w:val="24"/>
                <w:lang w:val="en-US" w:eastAsia="zh-CN"/>
              </w:rPr>
              <w:fldChar w:fldCharType="separate"/>
            </w:r>
            <w:r>
              <w:rPr>
                <w:rFonts w:hint="default" w:ascii="Times New Roman"/>
                <w:sz w:val="24"/>
                <w:lang w:val="en-US" w:eastAsia="zh-CN"/>
              </w:rPr>
              <w:t>0.629</w:t>
            </w:r>
            <w:r>
              <w:rPr>
                <w:rFonts w:hint="default" w:ascii="Times New Roman"/>
                <w:sz w:val="24"/>
                <w:lang w:val="en-US" w:eastAsia="zh-CN"/>
              </w:rPr>
              <w:fldChar w:fldCharType="end"/>
            </w:r>
          </w:p>
        </w:tc>
        <w:tc>
          <w:tcPr>
            <w:tcW w:w="170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sz w:val="24"/>
          <w:lang w:val="en-US" w:eastAsia="zh-CN"/>
        </w:rPr>
        <w:sectPr>
          <w:pgSz w:w="16838" w:h="11906" w:orient="landscape"/>
          <w:pgMar w:top="1800" w:right="1440" w:bottom="1800" w:left="1440" w:header="851" w:footer="992" w:gutter="0"/>
          <w:cols w:space="425" w:num="1"/>
          <w:docGrid w:type="lines" w:linePitch="312" w:charSpace="0"/>
        </w:sect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2、未设在线监测采用人工检测部分污染物排放总量计算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含悬浮物、总镉、烷基汞、总铝、动植物油、总砷、色度、总铅、总铁、总氰化物、粪大肠杆菌、阴离子表面活性剂、总锌、总汞、氟化物、总铬、六价铬、总铜、石油类、五日生化需氧量。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该部分污染物检测，按照排污许可证相关要求，委托第三方资质单位定期检测，数据均依据第三方资质单位出具的检测报告，如实填写。</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依据《排污许可证申请与核发技术规范 水处理（试行）》（HJ978-2018）中第9项实际排放量核算方法第9.2.1条实测法中采用手工监测数据核算的相关要求，以上各污染物的日均排放浓度来自手工监测报告上得到的平均浓度，日均排放水量来自出口流量计每月实际读数平均。</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核算公式为：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m:oMathPara>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废水</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nary>
            <m:naryPr>
              <m:chr m:val="∑"/>
              <m:limLoc m:val="undOvr"/>
              <m:ctrlPr>
                <w:rPr>
                  <w:rFonts w:hint="default" w:ascii="Cambria Math" w:hAnsi="Cambria Math"/>
                  <w:sz w:val="24"/>
                  <w:lang w:val="en-US" w:eastAsia="zh-CN"/>
                </w:rPr>
              </m:ctrlPr>
            </m:naryPr>
            <m:sub>
              <m:r>
                <m:rPr>
                  <m:sty m:val="p"/>
                </m:rPr>
                <w:rPr>
                  <w:rFonts w:hint="default" w:ascii="Cambria Math" w:hAnsi="Cambria Math"/>
                  <w:sz w:val="24"/>
                  <w:lang w:val="en-US" w:eastAsia="zh-CN"/>
                </w:rPr>
                <m:t>i=1</m:t>
              </m:r>
              <m:ctrlPr>
                <w:rPr>
                  <w:rFonts w:hint="default" w:ascii="Cambria Math" w:hAnsi="Cambria Math"/>
                  <w:sz w:val="24"/>
                  <w:lang w:val="en-US" w:eastAsia="zh-CN"/>
                </w:rPr>
              </m:ctrlPr>
            </m:sub>
            <m:sup>
              <m:r>
                <m:rPr>
                  <m:sty m:val="p"/>
                </m:rPr>
                <w:rPr>
                  <w:rFonts w:hint="default" w:ascii="Cambria Math" w:hAnsi="Cambria Math"/>
                  <w:sz w:val="24"/>
                  <w:lang w:val="en-US" w:eastAsia="zh-CN"/>
                </w:rPr>
                <m:t>n</m:t>
              </m:r>
              <m:ctrlPr>
                <w:rPr>
                  <w:rFonts w:hint="default" w:ascii="Cambria Math" w:hAnsi="Cambria Math"/>
                  <w:sz w:val="24"/>
                  <w:lang w:val="en-US" w:eastAsia="zh-CN"/>
                </w:rPr>
              </m:ctrlPr>
            </m:sup>
            <m:e>
              <m:d>
                <m:dPr>
                  <m:ctrlPr>
                    <w:rPr>
                      <w:rFonts w:hint="default" w:ascii="Cambria Math" w:hAnsi="Cambria Math"/>
                      <w:sz w:val="24"/>
                      <w:lang w:val="en-US" w:eastAsia="zh-CN"/>
                    </w:rPr>
                  </m:ctrlPr>
                </m:dPr>
                <m:e>
                  <m:sSub>
                    <m:sSubPr>
                      <m:ctrlPr>
                        <w:rPr>
                          <w:rFonts w:hint="default" w:ascii="Cambria Math" w:hAnsi="Cambria Math"/>
                          <w:sz w:val="24"/>
                          <w:lang w:val="en-US" w:eastAsia="zh-CN"/>
                        </w:rPr>
                      </m:ctrlPr>
                    </m:sSubPr>
                    <m:e>
                      <m:r>
                        <m:rPr>
                          <m:sty m:val="p"/>
                        </m:rPr>
                        <w:rPr>
                          <w:rFonts w:hint="default" w:ascii="Cambria Math" w:hAnsi="Cambria Math"/>
                          <w:sz w:val="24"/>
                          <w:lang w:val="en-US" w:eastAsia="zh-CN"/>
                        </w:rPr>
                        <m:t>c</m:t>
                      </m:r>
                      <m:ctrlPr>
                        <w:rPr>
                          <w:rFonts w:hint="default" w:ascii="Cambria Math" w:hAnsi="Cambria Math"/>
                          <w:sz w:val="24"/>
                          <w:lang w:val="en-US" w:eastAsia="zh-CN"/>
                        </w:rPr>
                      </m:ctrlPr>
                    </m:e>
                    <m:sub>
                      <m:r>
                        <m:rPr>
                          <m:sty m:val="p"/>
                        </m:rPr>
                        <w:rPr>
                          <w:rFonts w:hint="default" w:ascii="Cambria Math" w:hAnsi="Cambria Math"/>
                          <w:sz w:val="24"/>
                          <w:lang w:val="en-US" w:eastAsia="zh-CN"/>
                        </w:rPr>
                        <m:t>i</m:t>
                      </m:r>
                      <m:ctrlPr>
                        <w:rPr>
                          <w:rFonts w:hint="default" w:ascii="Cambria Math" w:hAnsi="Cambria Math"/>
                          <w:sz w:val="24"/>
                          <w:lang w:val="en-US" w:eastAsia="zh-CN"/>
                        </w:rPr>
                      </m:ctrlPr>
                    </m:sub>
                  </m:sSub>
                  <m:r>
                    <m:rPr>
                      <m:sty m:val="p"/>
                    </m:rPr>
                    <w:rPr>
                      <w:rFonts w:hint="eastAsia" w:ascii="Cambria Math" w:hAnsi="Cambria Math"/>
                      <w:sz w:val="24"/>
                      <w:lang w:val="en-US" w:eastAsia="zh-CN"/>
                    </w:rPr>
                    <m:t>×</m:t>
                  </m:r>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q</m:t>
                      </m:r>
                      <m:ctrlPr>
                        <w:rPr>
                          <w:rFonts w:hint="eastAsia" w:ascii="Cambria Math" w:hAnsi="Cambria Math"/>
                          <w:sz w:val="24"/>
                          <w:lang w:val="en-US" w:eastAsia="zh-CN"/>
                        </w:rPr>
                      </m:ctrlPr>
                    </m:e>
                    <m:sub>
                      <m:r>
                        <m:rPr>
                          <m:sty m:val="p"/>
                        </m:rPr>
                        <w:rPr>
                          <w:rFonts w:hint="default" w:ascii="Cambria Math" w:hAnsi="Cambria Math"/>
                          <w:sz w:val="24"/>
                          <w:lang w:val="en-US" w:eastAsia="zh-CN"/>
                        </w:rPr>
                        <m:t>i</m:t>
                      </m:r>
                      <m:ctrlPr>
                        <w:rPr>
                          <w:rFonts w:hint="eastAsia" w:ascii="Cambria Math" w:hAnsi="Cambria Math"/>
                          <w:sz w:val="24"/>
                          <w:lang w:val="en-US" w:eastAsia="zh-CN"/>
                        </w:rPr>
                      </m:ctrlPr>
                    </m:sub>
                  </m:sSub>
                  <m:r>
                    <m:rPr>
                      <m:sty m:val="p"/>
                    </m:rPr>
                    <w:rPr>
                      <w:rFonts w:hint="eastAsia" w:ascii="Cambria Math" w:hAnsi="Cambria Math"/>
                      <w:sz w:val="24"/>
                      <w:lang w:val="en-US" w:eastAsia="zh-CN"/>
                    </w:rPr>
                    <m:t>×</m:t>
                  </m:r>
                  <m:sSup>
                    <m:sSupPr>
                      <m:ctrlPr>
                        <w:rPr>
                          <w:rFonts w:hint="eastAsia" w:ascii="Cambria Math" w:hAnsi="Cambria Math"/>
                          <w:sz w:val="24"/>
                          <w:lang w:val="en-US" w:eastAsia="zh-CN"/>
                        </w:rPr>
                      </m:ctrlPr>
                    </m:sSupPr>
                    <m:e>
                      <m:r>
                        <m:rPr>
                          <m:sty m:val="p"/>
                        </m:rPr>
                        <w:rPr>
                          <w:rFonts w:hint="default" w:ascii="Cambria Math" w:hAnsi="Cambria Math"/>
                          <w:sz w:val="24"/>
                          <w:lang w:val="en-US" w:eastAsia="zh-CN"/>
                        </w:rPr>
                        <m:t>10</m:t>
                      </m:r>
                      <m:ctrlPr>
                        <w:rPr>
                          <w:rFonts w:hint="eastAsia" w:ascii="Cambria Math" w:hAnsi="Cambria Math"/>
                          <w:sz w:val="24"/>
                          <w:lang w:val="en-US" w:eastAsia="zh-CN"/>
                        </w:rPr>
                      </m:ctrlPr>
                    </m:e>
                    <m:sup>
                      <m:r>
                        <m:rPr>
                          <m:sty m:val="p"/>
                        </m:rPr>
                        <w:rPr>
                          <w:rFonts w:hint="default" w:ascii="Cambria Math" w:hAnsi="Cambria Math"/>
                          <w:sz w:val="24"/>
                          <w:lang w:val="en-US" w:eastAsia="zh-CN"/>
                        </w:rPr>
                        <m:t>−6</m:t>
                      </m:r>
                      <m:ctrlPr>
                        <w:rPr>
                          <w:rFonts w:hint="eastAsia" w:ascii="Cambria Math" w:hAnsi="Cambria Math"/>
                          <w:sz w:val="24"/>
                          <w:lang w:val="en-US" w:eastAsia="zh-CN"/>
                        </w:rPr>
                      </m:ctrlPr>
                    </m:sup>
                  </m:sSup>
                  <m:r>
                    <m:rPr>
                      <m:sty m:val="p"/>
                    </m:rPr>
                    <w:rPr>
                      <w:rFonts w:hint="eastAsia" w:ascii="Cambria Math" w:hAnsi="Cambria Math"/>
                      <w:sz w:val="24"/>
                      <w:lang w:val="en-US" w:eastAsia="zh-CN"/>
                    </w:rPr>
                    <m:t>×</m:t>
                  </m:r>
                  <m:r>
                    <m:rPr>
                      <m:sty m:val="p"/>
                    </m:rPr>
                    <w:rPr>
                      <w:rFonts w:hint="default" w:ascii="Cambria Math" w:hAnsi="Cambria Math"/>
                      <w:sz w:val="24"/>
                      <w:lang w:val="en-US" w:eastAsia="zh-CN"/>
                    </w:rPr>
                    <m:t>T</m:t>
                  </m:r>
                  <m:ctrlPr>
                    <w:rPr>
                      <w:rFonts w:hint="default" w:ascii="Cambria Math" w:hAnsi="Cambria Math"/>
                      <w:sz w:val="24"/>
                      <w:lang w:val="en-US" w:eastAsia="zh-CN"/>
                    </w:rPr>
                  </m:ctrlPr>
                </m:e>
              </m:d>
              <m:ctrlPr>
                <w:rPr>
                  <w:rFonts w:hint="default" w:ascii="Cambria Math" w:hAnsi="Cambria Math"/>
                  <w:sz w:val="24"/>
                  <w:lang w:val="en-US" w:eastAsia="zh-CN"/>
                </w:rPr>
              </m:ctrlPr>
            </m:e>
          </m:nary>
        </m:oMath>
      </m:oMathPara>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式中：</w:t>
      </w: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废水</m:t>
            </m:r>
            <m:ctrlPr>
              <w:rPr>
                <w:rFonts w:hint="eastAsia" w:ascii="Cambria Math" w:hAnsi="Cambria Math"/>
                <w:sz w:val="24"/>
                <w:lang w:val="en-US" w:eastAsia="zh-CN"/>
              </w:rPr>
            </m:ctrlPr>
          </m:sub>
        </m:sSub>
      </m:oMath>
      <w:r>
        <w:rPr>
          <w:rFonts w:hint="eastAsia" w:ascii="Times New Roman"/>
          <w:sz w:val="24"/>
          <w:lang w:val="en-US" w:eastAsia="zh-CN"/>
        </w:rPr>
        <w:t>—核算时段内排放口污染物的实际排放量，t；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 xml:space="preserve">         </w:t>
      </w: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c</m:t>
            </m:r>
            <m:ctrlPr>
              <w:rPr>
                <w:rFonts w:hint="eastAsia" w:ascii="Cambria Math" w:hAnsi="Cambria Math"/>
                <w:sz w:val="24"/>
                <w:lang w:val="en-US" w:eastAsia="zh-CN"/>
              </w:rPr>
            </m:ctrlPr>
          </m:e>
          <m:sub>
            <m:r>
              <m:rPr>
                <m:sty m:val="p"/>
              </m:rPr>
              <w:rPr>
                <w:rFonts w:hint="default" w:ascii="Cambria Math" w:hAnsi="Cambria Math"/>
                <w:sz w:val="24"/>
                <w:lang w:val="en-US" w:eastAsia="zh-CN"/>
              </w:rPr>
              <m:t>i</m:t>
            </m:r>
            <m:ctrlPr>
              <w:rPr>
                <w:rFonts w:hint="eastAsia" w:ascii="Cambria Math" w:hAnsi="Cambria Math"/>
                <w:sz w:val="24"/>
                <w:lang w:val="en-US" w:eastAsia="zh-CN"/>
              </w:rPr>
            </m:ctrlPr>
          </m:sub>
        </m:sSub>
      </m:oMath>
      <w:r>
        <w:rPr>
          <w:rFonts w:hint="eastAsia" w:ascii="Times New Roman"/>
          <w:sz w:val="24"/>
          <w:lang w:val="en-US" w:eastAsia="zh-CN"/>
        </w:rPr>
        <w:t>—污染物在该月的实际平均排放浓度，mg/L；</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 xml:space="preserve">         </w:t>
      </w: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q</m:t>
            </m:r>
            <m:ctrlPr>
              <w:rPr>
                <w:rFonts w:hint="eastAsia" w:ascii="Cambria Math" w:hAnsi="Cambria Math"/>
                <w:sz w:val="24"/>
                <w:lang w:val="en-US" w:eastAsia="zh-CN"/>
              </w:rPr>
            </m:ctrlPr>
          </m:e>
          <m:sub>
            <m:r>
              <m:rPr>
                <m:sty m:val="p"/>
              </m:rPr>
              <w:rPr>
                <w:rFonts w:hint="default" w:ascii="Cambria Math" w:hAnsi="Cambria Math"/>
                <w:sz w:val="24"/>
                <w:lang w:val="en-US" w:eastAsia="zh-CN"/>
              </w:rPr>
              <m:t>i</m:t>
            </m:r>
            <m:ctrlPr>
              <w:rPr>
                <w:rFonts w:hint="eastAsia" w:ascii="Cambria Math" w:hAnsi="Cambria Math"/>
                <w:sz w:val="24"/>
                <w:lang w:val="en-US" w:eastAsia="zh-CN"/>
              </w:rPr>
            </m:ctrlPr>
          </m:sub>
        </m:sSub>
      </m:oMath>
      <w:r>
        <w:rPr>
          <w:rFonts w:hint="eastAsia" w:ascii="Times New Roman"/>
          <w:sz w:val="24"/>
          <w:lang w:val="en-US" w:eastAsia="zh-CN"/>
        </w:rPr>
        <w:t>—该月的日平均流量，m3/d；</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 xml:space="preserve">         </w:t>
      </w:r>
      <m:oMath>
        <m:r>
          <m:rPr>
            <m:sty m:val="p"/>
          </m:rPr>
          <w:rPr>
            <w:rFonts w:hint="default" w:ascii="Cambria Math" w:hAnsi="Cambria Math"/>
            <w:sz w:val="24"/>
            <w:lang w:val="en-US" w:eastAsia="zh-CN"/>
          </w:rPr>
          <m:t>n</m:t>
        </m:r>
      </m:oMath>
      <w:r>
        <w:rPr>
          <w:rFonts w:hint="eastAsia" w:ascii="Times New Roman"/>
          <w:sz w:val="24"/>
          <w:lang w:val="en-US" w:eastAsia="zh-CN"/>
        </w:rPr>
        <w:t>—核算时间段内的污染物排放时间；</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1440" w:firstLineChars="600"/>
        <w:textAlignment w:val="auto"/>
        <w:rPr>
          <w:rFonts w:hint="default" w:ascii="Times New Roman"/>
          <w:sz w:val="24"/>
          <w:lang w:val="en-US" w:eastAsia="zh-CN"/>
        </w:rPr>
      </w:pPr>
      <w:r>
        <w:rPr>
          <w:rFonts w:hint="eastAsia" w:ascii="Times New Roman"/>
          <w:sz w:val="24"/>
          <w:lang w:val="en-US" w:eastAsia="zh-CN"/>
        </w:rPr>
        <w:t xml:space="preserve"> </w:t>
      </w:r>
      <m:oMath>
        <m:r>
          <m:rPr>
            <m:sty m:val="p"/>
          </m:rPr>
          <w:rPr>
            <w:rFonts w:hint="default" w:ascii="Cambria Math" w:hAnsi="Cambria Math"/>
            <w:sz w:val="24"/>
            <w:lang w:val="en-US" w:eastAsia="zh-CN"/>
          </w:rPr>
          <m:t>T</m:t>
        </m:r>
      </m:oMath>
      <w:r>
        <w:rPr>
          <w:rFonts w:hint="eastAsia" w:ascii="Times New Roman"/>
          <w:sz w:val="24"/>
          <w:lang w:val="en-US" w:eastAsia="zh-CN"/>
        </w:rPr>
        <w:t>—监测时间段内排放口累计运行时间，d。</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第三季度污染物排放总量为该季度每个月排放量的和。</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根据上述公式计算各污染物排放量如下：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（1）悬浮物</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2023年度各月悬浮物排放情况如下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cs="宋体"/>
                <w:color w:val="00000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cs="宋体"/>
                <w:color w:val="00000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295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cs="宋体"/>
                <w:color w:val="000000"/>
                <w:sz w:val="24"/>
                <w:szCs w:val="24"/>
                <w:lang w:val="en-US" w:eastAsia="zh-CN" w:bidi="ar-SA"/>
              </w:rPr>
              <w:t>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则2023年度悬浮物实际排放量为：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悬浮物</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=13.909</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（2）色度</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2023年度各月色度排放情况如下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cs="宋体"/>
                <w:color w:val="000000"/>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cs="宋体"/>
                <w:color w:val="000000"/>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cs="宋体"/>
                <w:color w:val="000000"/>
                <w:sz w:val="24"/>
                <w:szCs w:val="24"/>
                <w:lang w:val="en-US" w:eastAsia="zh-CN" w:bidi="ar-SA"/>
              </w:rPr>
              <w:t>3</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因色度无量纲，不再计算排放总量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 xml:space="preserve">（3）总汞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2023年度各月总汞排放情况如下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0.00016</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则2023年度总汞实际排放量为：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总汞</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0.00027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0.00024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0.00035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0.00025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m:t>
        </m:r>
        <m:r>
          <m:rPr/>
          <w:rPr>
            <w:rFonts w:hint="default" w:ascii="Cambria Math" w:hAnsi="Cambria Math" w:cstheme="minorEastAsia"/>
            <w:caps w:val="0"/>
            <w:color w:val="auto"/>
            <w:spacing w:val="0"/>
            <w:sz w:val="28"/>
            <w:szCs w:val="28"/>
            <w:lang w:val="en-US" w:eastAsia="zh-CN"/>
          </w:rPr>
          <m:t>16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=0.000490388</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（4）总砷</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2023年度各月总砷排放情况如下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0.0006</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则2023年度总砷实际排放量为：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总砷</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m:t>
        </m:r>
        <m:r>
          <m:rPr>
            <m:sty m:val="p"/>
          </m:rPr>
          <w:rPr>
            <w:rFonts w:hint="default" w:hAnsi="Cambria Math" w:cstheme="minorEastAsia"/>
            <w:caps w:val="0"/>
            <w:color w:val="auto"/>
            <w:spacing w:val="0"/>
            <w:sz w:val="28"/>
            <w:szCs w:val="28"/>
            <w:lang w:eastAsia="zh-CN"/>
          </w:rPr>
          <m:t>14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0.003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0.0011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m:t>
        </m:r>
        <m:r>
          <m:rPr/>
          <w:rPr>
            <w:rFonts w:hint="default" w:ascii="Cambria Math" w:hAnsi="Cambria Math" w:cstheme="minorEastAsia"/>
            <w:caps w:val="0"/>
            <w:color w:val="auto"/>
            <w:spacing w:val="0"/>
            <w:sz w:val="28"/>
            <w:szCs w:val="28"/>
            <w:lang w:val="en-US" w:eastAsia="zh-CN"/>
          </w:rPr>
          <m:t>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0.00</m:t>
        </m:r>
        <m:r>
          <m:rPr>
            <m:sty m:val="p"/>
          </m:rPr>
          <w:rPr>
            <w:rFonts w:hint="eastAsia" w:ascii="Times New Roman" w:hAnsi="Cambria Math" w:cstheme="minorEastAsia"/>
            <w:caps w:val="0"/>
            <w:color w:val="auto"/>
            <w:spacing w:val="0"/>
            <w:sz w:val="28"/>
            <w:szCs w:val="28"/>
            <w:lang w:val="en-US" w:eastAsia="zh-CN"/>
          </w:rPr>
          <m:t>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m:t>
        </m:r>
        <m:r>
          <m:rPr/>
          <w:rPr>
            <w:rFonts w:hint="default" w:ascii="Cambria Math" w:hAnsi="Cambria Math" w:cstheme="minorEastAsia"/>
            <w:caps w:val="0"/>
            <w:color w:val="auto"/>
            <w:spacing w:val="0"/>
            <w:sz w:val="28"/>
            <w:szCs w:val="28"/>
            <w:lang w:val="en-US" w:eastAsia="zh-CN"/>
          </w:rPr>
          <m:t>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=0.00649997</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（5）六价铬</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2023年度各月六价铬排放情况如下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keepNext w:val="0"/>
              <w:keepLines w:val="0"/>
              <w:widowControl/>
              <w:suppressLineNumbers w:val="0"/>
              <w:jc w:val="left"/>
              <w:textAlignment w:val="center"/>
              <w:rPr>
                <w:rFonts w:hint="default" w:ascii="Times New Roman" w:hAnsi="Times New Roman" w:eastAsia="宋体" w:cs="宋体"/>
                <w:color w:val="000000"/>
                <w:kern w:val="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keepNext w:val="0"/>
              <w:keepLines w:val="0"/>
              <w:widowControl/>
              <w:suppressLineNumbers w:val="0"/>
              <w:jc w:val="left"/>
              <w:textAlignment w:val="center"/>
              <w:rPr>
                <w:rFonts w:hint="default"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lang w:val="en-US" w:eastAsia="zh-CN" w:bidi="ar-SA"/>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keepNext w:val="0"/>
              <w:keepLines w:val="0"/>
              <w:widowControl/>
              <w:suppressLineNumbers w:val="0"/>
              <w:jc w:val="left"/>
              <w:textAlignment w:val="center"/>
              <w:rPr>
                <w:rFonts w:hint="default"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lang w:val="en-US" w:eastAsia="zh-CN" w:bidi="ar-SA"/>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keepNext w:val="0"/>
              <w:keepLines w:val="0"/>
              <w:widowControl/>
              <w:suppressLineNumbers w:val="0"/>
              <w:jc w:val="left"/>
              <w:textAlignment w:val="center"/>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keepNext w:val="0"/>
              <w:keepLines w:val="0"/>
              <w:widowControl/>
              <w:suppressLineNumbers w:val="0"/>
              <w:jc w:val="left"/>
              <w:textAlignment w:val="center"/>
              <w:rPr>
                <w:rFonts w:hint="default" w:ascii="Times New Roman" w:hAnsi="Times New Roman" w:eastAsia="宋体" w:cs="宋体"/>
                <w:color w:val="000000"/>
                <w:sz w:val="24"/>
                <w:szCs w:val="24"/>
                <w:lang w:val="en-US" w:eastAsia="zh-CN" w:bidi="ar-SA"/>
              </w:rPr>
            </w:pPr>
            <w:r>
              <w:rPr>
                <w:rFonts w:hint="eastAsia" w:ascii="Times New Roman" w:hAnsi="Times New Roman" w:eastAsia="宋体" w:cs="宋体"/>
                <w:color w:val="000000"/>
                <w:kern w:val="0"/>
                <w:sz w:val="24"/>
                <w:szCs w:val="24"/>
                <w:lang w:val="en-US" w:eastAsia="zh-CN" w:bidi="ar-SA"/>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keepNext w:val="0"/>
              <w:keepLines w:val="0"/>
              <w:widowControl/>
              <w:suppressLineNumbers w:val="0"/>
              <w:jc w:val="left"/>
              <w:textAlignment w:val="center"/>
              <w:rPr>
                <w:rFonts w:hint="default" w:ascii="Times New Roman" w:hAnsi="Times New Roman" w:eastAsia="宋体" w:cs="宋体"/>
                <w:color w:val="000000"/>
                <w:sz w:val="24"/>
                <w:szCs w:val="24"/>
                <w:lang w:val="en-US" w:eastAsia="zh-CN" w:bidi="ar-SA"/>
              </w:rPr>
            </w:pPr>
            <w:r>
              <w:rPr>
                <w:rFonts w:hint="eastAsia" w:ascii="Times New Roman" w:hAnsi="Times New Roman" w:eastAsia="宋体" w:cs="宋体"/>
                <w:color w:val="000000"/>
                <w:kern w:val="0"/>
                <w:sz w:val="24"/>
                <w:szCs w:val="24"/>
                <w:lang w:val="en-US" w:eastAsia="zh-CN" w:bidi="ar-SA"/>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keepNext w:val="0"/>
              <w:keepLines w:val="0"/>
              <w:widowControl/>
              <w:suppressLineNumbers w:val="0"/>
              <w:jc w:val="left"/>
              <w:textAlignment w:val="center"/>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keepNext w:val="0"/>
              <w:keepLines w:val="0"/>
              <w:widowControl/>
              <w:suppressLineNumbers w:val="0"/>
              <w:jc w:val="left"/>
              <w:textAlignment w:val="center"/>
              <w:rPr>
                <w:rFonts w:hint="default" w:ascii="Times New Roman"/>
                <w:sz w:val="24"/>
                <w:lang w:val="en-US" w:eastAsia="zh-CN"/>
              </w:rPr>
            </w:pPr>
            <w:r>
              <w:rPr>
                <w:rFonts w:hint="eastAsia" w:ascii="Times New Roman" w:hAnsi="Times New Roman" w:eastAsia="宋体" w:cs="宋体"/>
                <w:color w:val="000000"/>
                <w:kern w:val="0"/>
                <w:sz w:val="24"/>
                <w:szCs w:val="24"/>
                <w:lang w:val="en-US" w:eastAsia="zh-CN" w:bidi="ar-SA"/>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keepNext w:val="0"/>
              <w:keepLines w:val="0"/>
              <w:widowControl/>
              <w:suppressLineNumbers w:val="0"/>
              <w:jc w:val="left"/>
              <w:textAlignment w:val="center"/>
              <w:rPr>
                <w:rFonts w:hint="default" w:ascii="Times New Roman"/>
                <w:sz w:val="24"/>
                <w:lang w:val="en-US" w:eastAsia="zh-CN"/>
              </w:rPr>
            </w:pPr>
            <w:r>
              <w:rPr>
                <w:rFonts w:hint="eastAsia" w:ascii="Times New Roman" w:hAnsi="Times New Roman" w:eastAsia="宋体" w:cs="宋体"/>
                <w:color w:val="000000"/>
                <w:kern w:val="0"/>
                <w:sz w:val="24"/>
                <w:szCs w:val="24"/>
                <w:lang w:val="en-US" w:eastAsia="zh-CN" w:bidi="ar-SA"/>
              </w:rPr>
              <w:t>0.004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则2023年度六价铬实际排放量为：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六价铬</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ascii="Times New Roman" w:hAnsi="Cambria Math" w:cstheme="minorEastAsia"/>
            <w:caps w:val="0"/>
            <w:color w:val="auto"/>
            <w:spacing w:val="0"/>
            <w:sz w:val="28"/>
            <w:szCs w:val="28"/>
          </w:rPr>
          <m:t>0.00</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ascii="Times New Roman" w:hAnsi="Cambria Math" w:cstheme="minorEastAsia"/>
            <w:caps w:val="0"/>
            <w:color w:val="auto"/>
            <w:spacing w:val="0"/>
            <w:sz w:val="28"/>
            <w:szCs w:val="28"/>
          </w:rPr>
          <m:t>0.00</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=0.0113517</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（6）总铬</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2023年度各月总铬排放情况如下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FF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FF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FF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则2023年度总铬实际排放量为：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总铬</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ascii="Times New Roman" w:hAnsi="Cambria Math" w:cstheme="minorEastAsia"/>
            <w:caps w:val="0"/>
            <w:color w:val="auto"/>
            <w:spacing w:val="0"/>
            <w:sz w:val="28"/>
            <w:szCs w:val="28"/>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ascii="Times New Roman" w:hAnsi="Cambria Math" w:cstheme="minorEastAsia"/>
            <w:caps w:val="0"/>
            <w:color w:val="auto"/>
            <w:spacing w:val="0"/>
            <w:sz w:val="28"/>
            <w:szCs w:val="28"/>
          </w:rPr>
          <m:t>0.00</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=0.0193707</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（7）总镉</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2023年度各月总镉排放情况如下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color w:val="auto"/>
                <w:sz w:val="24"/>
                <w:lang w:val="en-US" w:eastAsia="zh-CN"/>
              </w:rPr>
            </w:pPr>
            <w:r>
              <w:rPr>
                <w:rFonts w:hint="eastAsia" w:ascii="Times New Roman"/>
                <w:color w:val="auto"/>
                <w:sz w:val="24"/>
                <w:lang w:val="en-US" w:eastAsia="zh-CN"/>
              </w:rPr>
              <w:t>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color w:val="auto"/>
                <w:sz w:val="24"/>
                <w:lang w:val="en-US" w:eastAsia="zh-CN"/>
              </w:rPr>
            </w:pPr>
            <w:r>
              <w:rPr>
                <w:rFonts w:hint="eastAsia" w:ascii="Times New Roman"/>
                <w:color w:val="auto"/>
                <w:sz w:val="24"/>
                <w:lang w:val="en-US" w:eastAsia="zh-CN"/>
              </w:rPr>
              <w:t>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0.00014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则2023年度总镉实际排放量为：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总镉</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0.00057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0.00023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m:t>
        </m:r>
        <m:r>
          <m:rPr/>
          <w:rPr>
            <w:rFonts w:hint="default" w:ascii="Cambria Math" w:hAnsi="Cambria Math" w:cstheme="minorEastAsia"/>
            <w:caps w:val="0"/>
            <w:color w:val="auto"/>
            <w:spacing w:val="0"/>
            <w:sz w:val="28"/>
            <w:szCs w:val="28"/>
            <w:lang w:eastAsia="zh-CN"/>
          </w:rPr>
          <m:t>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0.00012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0.000</m:t>
        </m:r>
        <m:r>
          <m:rPr>
            <m:sty m:val="p"/>
          </m:rPr>
          <w:rPr>
            <w:rFonts w:hint="eastAsia" w:ascii="Times New Roman" w:hAnsi="Cambria Math" w:cstheme="minorEastAsia"/>
            <w:caps w:val="0"/>
            <w:color w:val="auto"/>
            <w:spacing w:val="0"/>
            <w:sz w:val="28"/>
            <w:szCs w:val="28"/>
            <w:lang w:val="en-US" w:eastAsia="zh-CN"/>
          </w:rPr>
          <m:t>0</m:t>
        </m:r>
        <m:r>
          <m:rPr>
            <m:sty m:val="p"/>
          </m:rPr>
          <w:rPr>
            <w:rFonts w:hint="default" w:ascii="Times New Roman" w:hAnsi="Cambria Math" w:cstheme="minorEastAsia"/>
            <w:caps w:val="0"/>
            <w:color w:val="auto"/>
            <w:spacing w:val="0"/>
            <w:sz w:val="28"/>
            <w:szCs w:val="28"/>
            <w:lang w:eastAsia="zh-CN"/>
          </w:rPr>
          <m:t>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0.00014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=0.00035035</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（8）总铅</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2023年度各月总铅排放情况如下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0.0002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则2023年度总铅实际排放量为：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总铅</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0.0022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0.0009</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m:t>
        </m:r>
        <m:r>
          <m:rPr/>
          <w:rPr>
            <w:rFonts w:hint="default" w:ascii="Cambria Math" w:hAnsi="Cambria Math" w:cstheme="minorEastAsia"/>
            <w:caps w:val="0"/>
            <w:color w:val="auto"/>
            <w:spacing w:val="0"/>
            <w:sz w:val="28"/>
            <w:szCs w:val="28"/>
            <w:lang w:val="en-US" w:eastAsia="zh-CN"/>
          </w:rPr>
          <m:t>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m:t>
        </m:r>
        <m:r>
          <m:rPr/>
          <w:rPr>
            <w:rFonts w:hint="default" w:ascii="Cambria Math" w:hAnsi="Cambria Math" w:cstheme="minorEastAsia"/>
            <w:caps w:val="0"/>
            <w:color w:val="auto"/>
            <w:spacing w:val="0"/>
            <w:sz w:val="28"/>
            <w:szCs w:val="28"/>
            <w:lang w:val="en-US" w:eastAsia="zh-CN"/>
          </w:rPr>
          <m:t>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=0.0012653</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（9）五日生化需氧量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2023年度度各月五日生化需氧量排放情况如下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0.5</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则2023年度五日生化需氧量实际排放量为：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五日生化需氧量</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default" w:ascii="Times New Roman" w:hAnsi="Cambria Math" w:cstheme="minorEastAsia"/>
            <w:caps w:val="0"/>
            <w:color w:val="auto"/>
            <w:spacing w:val="0"/>
            <w:sz w:val="28"/>
            <w:szCs w:val="28"/>
            <w:lang w:eastAsia="zh-CN"/>
          </w:rPr>
          <m:t>2.3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2.3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eastAsia" w:ascii="Times New Roman" w:hAnsi="Cambria Math" w:cstheme="minorEastAsia"/>
            <w:caps w:val="0"/>
            <w:color w:val="auto"/>
            <w:spacing w:val="0"/>
            <w:sz w:val="28"/>
            <w:szCs w:val="28"/>
            <w:lang w:val="en-US" w:eastAsia="zh-CN"/>
          </w:rPr>
          <m:t>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=4.285</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（10）粪大肠杆菌</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2023年度各月粪大肠杆菌排放情况如下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510</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粪大肠杆菌不计算排放总量。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（11）石油类</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2023年度各月石油类排放情况如下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则2023年度石油类实际排放量为：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总铬</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=0.1594</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（12）动植物油</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2023年度各月动植物油排放情况如下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0.06</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则2023年度动植物油实际排放量为：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动植物油</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=0.1594</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（13）总氰化物</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2023年度各月总氰化物排放情况如下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tabs>
                <w:tab w:val="left" w:pos="361"/>
              </w:tabs>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0.004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则2023年度总氰化物实际排放量为：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总氰化物</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ascii="Times New Roman" w:hAnsi="Cambria Math" w:cstheme="minorEastAsia"/>
            <w:caps w:val="0"/>
            <w:color w:val="auto"/>
            <w:spacing w:val="0"/>
            <w:sz w:val="28"/>
            <w:szCs w:val="28"/>
          </w:rPr>
          <m:t>0.00</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ascii="Times New Roman" w:hAnsi="Cambria Math" w:cstheme="minorEastAsia"/>
            <w:caps w:val="0"/>
            <w:color w:val="auto"/>
            <w:spacing w:val="0"/>
            <w:sz w:val="28"/>
            <w:szCs w:val="28"/>
          </w:rPr>
          <m:t>0.00</m:t>
        </m:r>
        <m:r>
          <m:rPr>
            <m:sty m:val="p"/>
          </m:rPr>
          <w:rPr>
            <w:rFonts w:hint="eastAsia"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=0.012096</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（14）氟化物</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2023年度各月氟化物排放情况如下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宋体"/>
                <w:color w:val="000000"/>
                <w:sz w:val="24"/>
                <w:szCs w:val="24"/>
                <w:lang w:val="en-US" w:eastAsia="zh-CN" w:bidi="ar-SA"/>
              </w:rPr>
            </w:pPr>
            <w:r>
              <w:rPr>
                <w:rFonts w:hint="eastAsia" w:ascii="Times New Roman" w:cs="宋体"/>
                <w:color w:val="000000"/>
                <w:sz w:val="24"/>
                <w:szCs w:val="24"/>
                <w:lang w:val="en-US" w:eastAsia="zh-CN" w:bidi="ar-SA"/>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3.92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则2023年度氟化物实际排放量为：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氟化物</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3.93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3.93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3.93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2.78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2.78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2.78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4.44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4.44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4.44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3.92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3.92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3.92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=11.593</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（15）阴离子表面活性剂</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2023年度度各月阴离子表面活性剂排放情况如下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则2023年度阴离子表面活性剂实际排放量为：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阴离子表面活性剂</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hint="default" w:ascii="Cambria Math" w:hAnsi="Cambria Math" w:cstheme="minorEastAsia"/>
            <w:caps w:val="0"/>
            <w:color w:val="auto"/>
            <w:spacing w:val="0"/>
            <w:sz w:val="28"/>
            <w:szCs w:val="28"/>
            <w:lang w:val="en-US" w:eastAsia="zh-CN"/>
          </w:rPr>
          <m:t>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=0.23833</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（16）总铁</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2023年度各月总铁排放情况如下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则2023年度总铁实际排放量为：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总铁</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0.02</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=0.0935</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（17）总铜</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2023年度各月总铜排放情况如下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宋体"/>
                <w:color w:val="000000"/>
                <w:sz w:val="24"/>
                <w:szCs w:val="24"/>
                <w:lang w:val="en-US" w:eastAsia="zh-CN" w:bidi="ar-SA"/>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sz w:val="24"/>
                <w:lang w:val="en-US" w:eastAsia="zh-CN"/>
              </w:rPr>
            </w:pPr>
            <w:r>
              <w:rPr>
                <w:rFonts w:hint="eastAsia" w:ascii="Times New Roman"/>
                <w:sz w:val="24"/>
                <w:lang w:val="en-US" w:eastAsia="zh-CN"/>
              </w:rPr>
              <w:t>0.04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则2023年度总铜实际排放量为：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总铜</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=0.12096</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（18）总锌</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2023年度各月总锌排放情况如下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0.013</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则2023年度总锌实际排放量为：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总锌</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0.065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33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0.033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m:t>
        </m:r>
        <m:r>
          <m:rPr/>
          <w:rPr>
            <w:rFonts w:hint="default" w:ascii="Cambria Math" w:hAnsi="Cambria Math" w:cstheme="minorEastAsia"/>
            <w:caps w:val="0"/>
            <w:color w:val="auto"/>
            <w:spacing w:val="0"/>
            <w:sz w:val="28"/>
            <w:szCs w:val="28"/>
            <w:lang w:val="en-US" w:eastAsia="zh-CN"/>
          </w:rPr>
          <m:t>33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0.013</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=0.0833</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（19）总铝</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2023年度各月总铝排放情况如下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28</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0.074</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则2023年度总铝实际排放量为：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总铝</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0.196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0.196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0.196</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0.098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0.98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0.098</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hint="default" w:ascii="Cambria Math" w:hAnsi="Cambria Math" w:cstheme="minorEastAsia"/>
            <w:caps w:val="0"/>
            <w:color w:val="auto"/>
            <w:spacing w:val="0"/>
            <w:sz w:val="28"/>
            <w:szCs w:val="28"/>
            <w:lang w:val="en-US" w:eastAsia="zh-CN"/>
          </w:rPr>
          <m:t>245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0.245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hint="default" w:ascii="Cambria Math" w:hAnsi="Cambria Math" w:cstheme="minorEastAsia"/>
            <w:caps w:val="0"/>
            <w:color w:val="auto"/>
            <w:spacing w:val="0"/>
            <w:sz w:val="28"/>
            <w:szCs w:val="28"/>
            <w:lang w:val="en-US" w:eastAsia="zh-CN"/>
          </w:rPr>
          <m:t>245</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0.074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0.074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0.074</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ascii="Cambria Math" w:hAnsi="Cambria Math"/>
            <w:sz w:val="24"/>
            <w:lang w:val="en-US" w:eastAsia="zh-CN"/>
          </w:rPr>
          <m:t>=0.4511</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（20）烷基汞</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2023年度各月烷基汞排放情况如下</w:t>
      </w:r>
    </w:p>
    <w:tbl>
      <w:tblPr>
        <w:tblStyle w:val="11"/>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331"/>
        <w:gridCol w:w="2569"/>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月份</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天数</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日平均流量（m3/d）</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平均排放浓度（mg/L）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2341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4984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6670</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4</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6912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5</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7185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6</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8088</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7</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10325</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8</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10184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9</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10081</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hAnsi="Times New Roman" w:eastAsia="宋体" w:cs="宋体"/>
                <w:color w:val="000000"/>
                <w:sz w:val="24"/>
                <w:szCs w:val="24"/>
                <w:lang w:val="en-US" w:eastAsia="zh-CN" w:bidi="ar-SA"/>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12684</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11</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30</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10437</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12</w:t>
            </w:r>
          </w:p>
        </w:tc>
        <w:tc>
          <w:tcPr>
            <w:tcW w:w="1331"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31</w:t>
            </w:r>
          </w:p>
        </w:tc>
        <w:tc>
          <w:tcPr>
            <w:tcW w:w="25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ascii="Times New Roman"/>
                <w:sz w:val="24"/>
                <w:lang w:val="en-US" w:eastAsia="zh-CN"/>
              </w:rPr>
            </w:pPr>
            <w:r>
              <w:rPr>
                <w:rFonts w:hint="eastAsia" w:ascii="Times New Roman"/>
                <w:sz w:val="24"/>
                <w:lang w:val="en-US" w:eastAsia="zh-CN"/>
              </w:rPr>
              <w:t>9462</w:t>
            </w:r>
          </w:p>
        </w:tc>
        <w:tc>
          <w:tcPr>
            <w:tcW w:w="303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0</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则2023年度烷基汞实际排放量为：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m:oMath>
        <m:sSub>
          <m:sSubPr>
            <m:ctrlPr>
              <w:rPr>
                <w:rFonts w:hint="eastAsia" w:ascii="Cambria Math" w:hAnsi="Cambria Math"/>
                <w:sz w:val="24"/>
                <w:lang w:val="en-US" w:eastAsia="zh-CN"/>
              </w:rPr>
            </m:ctrlPr>
          </m:sSubPr>
          <m:e>
            <m:r>
              <m:rPr>
                <m:sty m:val="p"/>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default" w:ascii="Cambria Math" w:hAnsi="Cambria Math"/>
                <w:sz w:val="24"/>
                <w:lang w:val="en-US" w:eastAsia="zh-CN"/>
              </w:rPr>
              <m:t>烷基汞</m:t>
            </m:r>
            <m:ctrlPr>
              <w:rPr>
                <w:rFonts w:hint="eastAsia" w:ascii="Cambria Math" w:hAnsi="Cambria Math"/>
                <w:sz w:val="24"/>
                <w:lang w:val="en-US" w:eastAsia="zh-CN"/>
              </w:rPr>
            </m:ctrlPr>
          </m:sub>
        </m:sSub>
        <m:r>
          <m:rPr>
            <m:sty m:val="p"/>
          </m:rPr>
          <w:rPr>
            <w:rFonts w:hint="default" w:ascii="Cambria Math" w:hAnsi="Cambria Math"/>
            <w:sz w:val="24"/>
            <w:lang w:val="en-US" w:eastAsia="zh-CN"/>
          </w:rPr>
          <m:t>=</m:t>
        </m:r>
        <m:r>
          <m:rPr/>
          <w:rPr>
            <w:rFonts w:hint="default" w:ascii="Cambria Math" w:hAnsi="Cambria Math" w:cstheme="minorEastAsia"/>
            <w:caps w:val="0"/>
            <w:color w:val="auto"/>
            <w:spacing w:val="0"/>
            <w:sz w:val="28"/>
            <w:szCs w:val="28"/>
            <w:lang w:val="en-US" w:eastAsia="zh-CN"/>
          </w:rPr>
          <m:t>2341</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31+4984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28+6670</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31+6912</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30+7185</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31+8088</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30+</m:t>
        </m:r>
        <m:r>
          <m:rPr>
            <m:sty m:val="p"/>
          </m:rPr>
          <w:rPr>
            <w:rFonts w:hint="eastAsia" w:hAnsi="Cambria Math" w:cstheme="minorEastAsia"/>
            <w:caps w:val="0"/>
            <w:color w:val="auto"/>
            <w:spacing w:val="0"/>
            <w:sz w:val="28"/>
            <w:szCs w:val="28"/>
            <w:lang w:val="en-US" w:eastAsia="zh-CN"/>
          </w:rPr>
          <m:t>10325</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default" w:hAnsi="Cambria Math" w:cstheme="minorEastAsia"/>
            <w:caps w:val="0"/>
            <w:color w:val="auto"/>
            <w:spacing w:val="0"/>
            <w:sz w:val="28"/>
            <w:szCs w:val="28"/>
            <w:lang w:eastAsia="zh-CN"/>
          </w:rPr>
          <m:t>10184</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31+10081</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cstheme="minorEastAsia"/>
            <w:caps w:val="0"/>
            <w:color w:val="auto"/>
            <w:spacing w:val="0"/>
            <w:sz w:val="28"/>
            <w:szCs w:val="28"/>
            <w:lang w:val="en-US" w:eastAsia="zh-CN"/>
          </w:rPr>
          <m:t>+</m:t>
        </m:r>
        <m:r>
          <m:rPr>
            <m:sty m:val="p"/>
          </m:rPr>
          <w:rPr>
            <w:rFonts w:hint="eastAsia" w:hAnsi="Cambria Math" w:cstheme="minorEastAsia"/>
            <w:caps w:val="0"/>
            <w:color w:val="auto"/>
            <w:spacing w:val="0"/>
            <w:sz w:val="28"/>
            <w:szCs w:val="28"/>
            <w:lang w:val="en-US" w:eastAsia="zh-CN"/>
          </w:rPr>
          <m:t>12627</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m:t>
        </m:r>
        <m:r>
          <m:rPr>
            <m:sty m:val="p"/>
          </m:rPr>
          <w:rPr>
            <w:rFonts w:hint="eastAsia" w:hAnsi="Cambria Math" w:cstheme="minorEastAsia"/>
            <w:caps w:val="0"/>
            <w:color w:val="auto"/>
            <w:spacing w:val="0"/>
            <w:sz w:val="28"/>
            <w:szCs w:val="28"/>
            <w:lang w:eastAsia="zh-CN"/>
          </w:rPr>
          <m:t>10437</m:t>
        </m:r>
        <m:r>
          <m:rPr/>
          <w:rPr>
            <w:rFonts w:ascii="Cambria Math" w:hAnsi="Cambria Math" w:cstheme="minorEastAsia"/>
            <w:caps w:val="0"/>
            <w:color w:val="auto"/>
            <w:spacing w:val="0"/>
            <w:sz w:val="28"/>
            <w:szCs w:val="28"/>
            <w:lang w:val="en-US"/>
          </w:rPr>
          <m:t>×</m:t>
        </m:r>
        <m:r>
          <m:rPr/>
          <w:rPr>
            <w:rFonts w:hint="default" w:ascii="Cambria Math"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31+9462</m:t>
        </m:r>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0</m:t>
        </m:r>
        <m:r>
          <m:rPr/>
          <w:rPr>
            <w:rFonts w:ascii="Cambria Math" w:hAnsi="Cambria Math" w:cstheme="minorEastAsia"/>
            <w:caps w:val="0"/>
            <w:color w:val="auto"/>
            <w:spacing w:val="0"/>
            <w:sz w:val="28"/>
            <w:szCs w:val="28"/>
            <w:lang w:val="en-US"/>
          </w:rPr>
          <m:t>×</m:t>
        </m:r>
        <m:sSup>
          <m:sSupPr>
            <m:ctrlPr>
              <w:rPr>
                <w:rFonts w:ascii="Cambria Math" w:hAnsi="Cambria Math" w:cstheme="minorEastAsia"/>
                <w:bCs w:val="0"/>
                <w:i/>
                <w:iCs w:val="0"/>
                <w:caps w:val="0"/>
                <w:color w:val="auto"/>
                <w:spacing w:val="0"/>
                <w:sz w:val="28"/>
                <w:szCs w:val="28"/>
                <w:lang w:val="en-US"/>
              </w:rPr>
            </m:ctrlPr>
          </m:sSupPr>
          <m:e>
            <m:r>
              <m:rPr/>
              <w:rPr>
                <w:rFonts w:hint="default" w:ascii="Cambria Math" w:hAnsi="Cambria Math" w:cstheme="minorEastAsia"/>
                <w:caps w:val="0"/>
                <w:color w:val="auto"/>
                <w:spacing w:val="0"/>
                <w:sz w:val="28"/>
                <w:szCs w:val="28"/>
                <w:lang w:val="en-US" w:eastAsia="zh-CN"/>
              </w:rPr>
              <m:t>10</m:t>
            </m:r>
            <m:ctrlPr>
              <w:rPr>
                <w:rFonts w:ascii="Cambria Math" w:hAnsi="Cambria Math" w:cstheme="minorEastAsia"/>
                <w:bCs w:val="0"/>
                <w:i/>
                <w:iCs w:val="0"/>
                <w:caps w:val="0"/>
                <w:color w:val="auto"/>
                <w:spacing w:val="0"/>
                <w:sz w:val="28"/>
                <w:szCs w:val="28"/>
                <w:lang w:val="en-US"/>
              </w:rPr>
            </m:ctrlPr>
          </m:e>
          <m:sup>
            <m:r>
              <m:rPr/>
              <w:rPr>
                <w:rFonts w:hint="default" w:ascii="Cambria Math" w:hAnsi="Cambria Math" w:cstheme="minorEastAsia"/>
                <w:caps w:val="0"/>
                <w:color w:val="auto"/>
                <w:spacing w:val="0"/>
                <w:sz w:val="28"/>
                <w:szCs w:val="28"/>
                <w:lang w:val="en-US" w:eastAsia="zh-CN"/>
              </w:rPr>
              <m:t>−6</m:t>
            </m:r>
            <m:ctrlPr>
              <w:rPr>
                <w:rFonts w:ascii="Cambria Math" w:hAnsi="Cambria Math" w:cstheme="minorEastAsia"/>
                <w:bCs w:val="0"/>
                <w:i/>
                <w:iCs w:val="0"/>
                <w:caps w:val="0"/>
                <w:color w:val="auto"/>
                <w:spacing w:val="0"/>
                <w:sz w:val="28"/>
                <w:szCs w:val="28"/>
                <w:lang w:val="en-US"/>
              </w:rPr>
            </m:ctrlPr>
          </m:sup>
        </m:sSup>
        <m:r>
          <m:rPr/>
          <w:rPr>
            <w:rFonts w:ascii="Cambria Math" w:hAnsi="Cambria Math" w:cstheme="minorEastAsia"/>
            <w:caps w:val="0"/>
            <w:color w:val="auto"/>
            <w:spacing w:val="0"/>
            <w:sz w:val="28"/>
            <w:szCs w:val="28"/>
            <w:lang w:val="en-US"/>
          </w:rPr>
          <m:t>×</m:t>
        </m:r>
        <m:r>
          <m:rPr>
            <m:sty m:val="p"/>
          </m:rPr>
          <w:rPr>
            <w:rFonts w:hint="eastAsia" w:hAnsi="Cambria Math" w:cstheme="minorEastAsia"/>
            <w:caps w:val="0"/>
            <w:color w:val="auto"/>
            <w:spacing w:val="0"/>
            <w:sz w:val="28"/>
            <w:szCs w:val="28"/>
            <w:lang w:val="en-US" w:eastAsia="zh-CN"/>
          </w:rPr>
          <m:t>30</m:t>
        </m:r>
        <m:r>
          <m:rPr>
            <m:sty m:val="p"/>
          </m:rPr>
          <w:rPr>
            <w:rFonts w:hint="default" w:ascii="Cambria Math" w:hAnsi="Cambria Math"/>
            <w:sz w:val="24"/>
            <w:lang w:val="en-US" w:eastAsia="zh-CN"/>
          </w:rPr>
          <m:t>=0</m:t>
        </m:r>
      </m:oMath>
      <w:r>
        <w:rPr>
          <w:rFonts w:hint="eastAsia" w:ascii="Times New Roman"/>
          <w:sz w:val="24"/>
          <w:lang w:val="en-US" w:eastAsia="zh-CN"/>
        </w:rPr>
        <w:t>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根据上述计算结果，汇总如下：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sectPr>
          <w:pgSz w:w="11906" w:h="16838"/>
          <w:pgMar w:top="1440" w:right="1800" w:bottom="1440" w:left="1800" w:header="851" w:footer="992" w:gutter="0"/>
          <w:cols w:space="425" w:num="1"/>
          <w:docGrid w:type="lines" w:linePitch="312" w:charSpace="0"/>
        </w:sect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眉山市派普污水处理有限公司2023年度手工监测部分污染物实际排放量</w:t>
      </w:r>
    </w:p>
    <w:tbl>
      <w:tblPr>
        <w:tblStyle w:val="11"/>
        <w:tblW w:w="16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455"/>
        <w:gridCol w:w="1069"/>
        <w:gridCol w:w="1069"/>
        <w:gridCol w:w="1069"/>
        <w:gridCol w:w="1069"/>
        <w:gridCol w:w="1069"/>
        <w:gridCol w:w="1069"/>
        <w:gridCol w:w="1069"/>
        <w:gridCol w:w="1069"/>
        <w:gridCol w:w="1069"/>
        <w:gridCol w:w="1069"/>
        <w:gridCol w:w="1069"/>
        <w:gridCol w:w="106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编号</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污染物项目</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1月累计排放总量（t）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2月累计排放总量（t）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3月累计排放总量（t）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4月累计排放总量（t）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5月累计排放总量（t）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6月累计排放总量（t）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7月累计排放总量（t）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8月累计排放总量（t）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9月累计排放总量（t）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10月累计排放总量（t）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11月累计排放总量（t）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12月累计排放总量（t）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累计排放总量（t）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流量</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72557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139557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206770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207359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222722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242652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320083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315714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302422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393199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313102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lang w:val="en-US" w:eastAsia="zh-CN"/>
              </w:rPr>
            </w:pPr>
            <w:r>
              <w:rPr>
                <w:rFonts w:hint="eastAsia" w:ascii="Times New Roman"/>
                <w:sz w:val="24"/>
                <w:lang w:val="en-US" w:eastAsia="zh-CN"/>
              </w:rPr>
              <w:t>293322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fldChar w:fldCharType="begin"/>
            </w:r>
            <w:r>
              <w:rPr>
                <w:rFonts w:hint="default" w:ascii="Times New Roman"/>
                <w:sz w:val="24"/>
                <w:lang w:val="en-US" w:eastAsia="zh-CN"/>
              </w:rPr>
              <w:instrText xml:space="preserve"> = sum(C2:N2) \* MERGEFORMAT </w:instrText>
            </w:r>
            <w:r>
              <w:rPr>
                <w:rFonts w:hint="default" w:ascii="Times New Roman"/>
                <w:sz w:val="24"/>
                <w:lang w:val="en-US" w:eastAsia="zh-CN"/>
              </w:rPr>
              <w:fldChar w:fldCharType="separate"/>
            </w:r>
            <w:r>
              <w:rPr>
                <w:rFonts w:hint="default" w:ascii="Times New Roman"/>
                <w:sz w:val="24"/>
                <w:lang w:val="en-US" w:eastAsia="zh-CN"/>
              </w:rPr>
              <w:t>3029459</w:t>
            </w:r>
            <w:r>
              <w:rPr>
                <w:rFonts w:hint="default" w:ascii="Times New Roman"/>
                <w:sz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悬浮物</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0.581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0.698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0.827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0.829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1.94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0.971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1.6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 xml:space="preserve">  </w:t>
            </w:r>
            <w:r>
              <w:rPr>
                <w:rFonts w:hint="default" w:ascii="Times New Roman"/>
                <w:sz w:val="24"/>
                <w:lang w:val="en-US" w:eastAsia="zh-CN"/>
              </w:rPr>
              <w:t>1.263</w:t>
            </w:r>
            <w:r>
              <w:rPr>
                <w:rFonts w:hint="eastAsia" w:ascii="Times New Roman"/>
                <w:sz w:val="24"/>
                <w:lang w:val="en-US" w:eastAsia="zh-CN"/>
              </w:rPr>
              <w:t xml:space="preserve">                          </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1.210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firstLine="0" w:firstLineChars="0"/>
              <w:jc w:val="left"/>
              <w:textAlignment w:val="auto"/>
              <w:rPr>
                <w:rFonts w:hint="default" w:ascii="Times New Roman"/>
                <w:sz w:val="24"/>
                <w:szCs w:val="24"/>
                <w:lang w:val="en-US" w:eastAsia="zh-CN"/>
              </w:rPr>
            </w:pPr>
            <w:r>
              <w:rPr>
                <w:rFonts w:hint="eastAsia" w:asciiTheme="minorEastAsia" w:hAnsiTheme="minorEastAsia" w:eastAsiaTheme="minorEastAsia" w:cstheme="minorEastAsia"/>
                <w:b w:val="0"/>
                <w:bCs w:val="0"/>
                <w:i w:val="0"/>
                <w:iCs w:val="0"/>
                <w:caps w:val="0"/>
                <w:color w:val="auto"/>
                <w:spacing w:val="0"/>
                <w:kern w:val="2"/>
                <w:sz w:val="28"/>
                <w:szCs w:val="28"/>
                <w:vertAlign w:val="baseline"/>
                <w:lang w:val="en-US" w:eastAsia="zh-CN" w:bidi="ar-SA"/>
              </w:rPr>
              <w:t>1.565</w:t>
            </w:r>
          </w:p>
        </w:tc>
        <w:tc>
          <w:tcPr>
            <w:tcW w:w="1069" w:type="dxa"/>
            <w:vAlign w:val="center"/>
          </w:tcPr>
          <w:p>
            <w:pPr>
              <w:spacing w:line="240" w:lineRule="auto"/>
              <w:jc w:val="left"/>
              <w:rPr>
                <w:rFonts w:hint="default" w:ascii="Times New Roman"/>
                <w:sz w:val="24"/>
                <w:szCs w:val="24"/>
                <w:lang w:val="en-US" w:eastAsia="zh-CN"/>
              </w:rPr>
            </w:pPr>
            <w:r>
              <w:rPr>
                <w:rFonts w:hint="eastAsia" w:asciiTheme="minorEastAsia" w:hAnsiTheme="minorEastAsia" w:cstheme="minorEastAsia"/>
                <w:b w:val="0"/>
                <w:bCs w:val="0"/>
                <w:i w:val="0"/>
                <w:iCs w:val="0"/>
                <w:caps w:val="0"/>
                <w:color w:val="auto"/>
                <w:spacing w:val="0"/>
                <w:sz w:val="28"/>
                <w:szCs w:val="28"/>
                <w:vertAlign w:val="baseline"/>
                <w:lang w:val="en-US" w:eastAsia="zh-CN"/>
              </w:rPr>
              <w:t>1.252</w:t>
            </w:r>
          </w:p>
        </w:tc>
        <w:tc>
          <w:tcPr>
            <w:tcW w:w="1069" w:type="dxa"/>
            <w:vAlign w:val="center"/>
          </w:tcPr>
          <w:p>
            <w:pPr>
              <w:spacing w:line="240" w:lineRule="auto"/>
              <w:jc w:val="left"/>
              <w:rPr>
                <w:rFonts w:hint="default" w:ascii="Times New Roman"/>
                <w:sz w:val="24"/>
                <w:szCs w:val="24"/>
                <w:lang w:val="en-US" w:eastAsia="zh-CN"/>
              </w:rPr>
            </w:pPr>
            <w:r>
              <w:rPr>
                <w:rFonts w:hint="eastAsia" w:asciiTheme="minorEastAsia" w:hAnsiTheme="minorEastAsia" w:cstheme="minorEastAsia"/>
                <w:b w:val="0"/>
                <w:bCs w:val="0"/>
                <w:i w:val="0"/>
                <w:iCs w:val="0"/>
                <w:caps w:val="0"/>
                <w:color w:val="auto"/>
                <w:spacing w:val="0"/>
                <w:sz w:val="28"/>
                <w:szCs w:val="28"/>
                <w:vertAlign w:val="baseline"/>
                <w:lang w:val="en-US" w:eastAsia="zh-CN"/>
              </w:rPr>
              <w:t>1.173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sum(C3:N3)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13.909</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3</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色度</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4</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总汞</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0.00000508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0.000006978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0.00000827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0.00000166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0.0000111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0.0000194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0.0000864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0.0000758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0.000106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0.0000</w:t>
            </w:r>
            <w:r>
              <w:rPr>
                <w:rFonts w:hint="eastAsia" w:ascii="Times New Roman"/>
                <w:sz w:val="24"/>
                <w:lang w:val="en-US" w:eastAsia="zh-CN"/>
              </w:rPr>
              <w:t>978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0.000025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0.0000469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sum(C5:N5)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0.000490388</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5</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总砷</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0.00002177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0.000069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0.000062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0.0000622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0.000134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0.000218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0.000448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0.000947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0.00333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0.000</w:t>
            </w:r>
            <w:r>
              <w:rPr>
                <w:rFonts w:hint="eastAsia" w:ascii="Times New Roman"/>
                <w:sz w:val="24"/>
                <w:lang w:val="en-US" w:eastAsia="zh-CN"/>
              </w:rPr>
              <w:t>782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0.00025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0.000176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sum(C6:N6)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0.00649997</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6</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六价铬</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0.000558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0.0000827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0.000829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0.000891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0.000971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0.00128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0.00126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0.00121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0.001</w:t>
            </w:r>
            <w:r>
              <w:rPr>
                <w:rFonts w:hint="eastAsia" w:ascii="Times New Roman"/>
                <w:sz w:val="24"/>
                <w:lang w:val="en-US" w:eastAsia="zh-CN"/>
              </w:rPr>
              <w:t>56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0.00125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0.00117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sum(C7:N7)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0.0113517</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7</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总铬</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0.000558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0.0000827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0.000829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0.00891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0.000971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0.00128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0.00126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0.00121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0.001</w:t>
            </w:r>
            <w:r>
              <w:rPr>
                <w:rFonts w:hint="eastAsia" w:ascii="Times New Roman"/>
                <w:sz w:val="24"/>
                <w:lang w:val="en-US" w:eastAsia="zh-CN"/>
              </w:rPr>
              <w:t>56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0.00125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0.00117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sum(C8:N8)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0.0193707</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8</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总镉</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0.00000217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0.00000977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0.00011786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0.0000002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0.00000445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0.0000558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0.0000224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0.0000379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0.0000212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0.0000</w:t>
            </w:r>
            <w:r>
              <w:rPr>
                <w:rFonts w:hint="eastAsia" w:ascii="Times New Roman"/>
                <w:sz w:val="24"/>
                <w:lang w:val="en-US" w:eastAsia="zh-CN"/>
              </w:rPr>
              <w:t>313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0.0000063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0.000041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sum(C9:N9)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0.00035035</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9</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总铅</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0.0000217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0.0000977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0.0004548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0.0000415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0.0000445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0.000218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0.000064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0.0000631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0.0000605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default" w:ascii="Times New Roman"/>
                <w:sz w:val="24"/>
                <w:lang w:val="en-US" w:eastAsia="zh-CN"/>
              </w:rPr>
              <w:t>0.0000</w:t>
            </w:r>
            <w:r>
              <w:rPr>
                <w:rFonts w:hint="eastAsia" w:ascii="Times New Roman"/>
                <w:sz w:val="24"/>
                <w:lang w:val="en-US" w:eastAsia="zh-CN"/>
              </w:rPr>
              <w:t>782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0.0000626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0.0000587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sum(C10:N10)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0.0012653</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10</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五日生化需氧量</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0.189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0.363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0.538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0.166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0.178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0.194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0.736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0.726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0.696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0.195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0.157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0.147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sum(C11:N11)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4.285</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11</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粪大肠杆菌</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12</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石油类</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0.00435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0.00837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0.00124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0.00124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0.0134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0.0146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0.0192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0.0189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0.0181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0.023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sum(C13:N13)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0.1594</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13</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动植物油</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0.00435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0.00837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0.00124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0.0124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0.0134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0.0146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0.0192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0.0189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0.0181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0.023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0.1594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14</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总氰化物</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0.000558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0.000827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0.000829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0.000891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0.000971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0.00128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0.00126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0.00121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imes New Roman"/>
                <w:sz w:val="24"/>
                <w:lang w:val="en-US" w:eastAsia="zh-CN"/>
              </w:rPr>
            </w:pPr>
            <w:r>
              <w:rPr>
                <w:rFonts w:hint="eastAsia" w:ascii="Times New Roman"/>
                <w:sz w:val="24"/>
                <w:lang w:val="en-US" w:eastAsia="zh-CN"/>
              </w:rPr>
              <w:t>0.00156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imes New Roman"/>
                <w:sz w:val="24"/>
                <w:lang w:val="en-US" w:eastAsia="zh-CN"/>
              </w:rPr>
            </w:pPr>
            <w:r>
              <w:rPr>
                <w:rFonts w:hint="eastAsia" w:ascii="Times New Roman"/>
                <w:sz w:val="24"/>
                <w:lang w:val="en-US" w:eastAsia="zh-CN"/>
              </w:rPr>
              <w:t>0.00125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imes New Roman"/>
                <w:sz w:val="24"/>
                <w:lang w:val="en-US" w:eastAsia="zh-CN"/>
              </w:rPr>
            </w:pPr>
            <w:r>
              <w:rPr>
                <w:rFonts w:hint="eastAsia" w:ascii="Times New Roman"/>
                <w:sz w:val="24"/>
                <w:lang w:val="en-US" w:eastAsia="zh-CN"/>
              </w:rPr>
              <w:t>0.00117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sum(C15:N15)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0.012096</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15</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氟化物</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0.285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0.548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0.813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0.576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0.619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0.675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1.421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1.402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1.343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left"/>
              <w:textAlignment w:val="auto"/>
              <w:rPr>
                <w:rFonts w:hint="default" w:ascii="Times New Roman"/>
                <w:sz w:val="24"/>
                <w:lang w:val="en-US" w:eastAsia="zh-CN"/>
              </w:rPr>
            </w:pPr>
            <w:r>
              <w:rPr>
                <w:rFonts w:hint="eastAsia" w:asciiTheme="minorEastAsia" w:hAnsiTheme="minorEastAsia" w:eastAsiaTheme="minorEastAsia" w:cstheme="minorEastAsia"/>
                <w:b w:val="0"/>
                <w:bCs w:val="0"/>
                <w:i w:val="0"/>
                <w:iCs w:val="0"/>
                <w:caps w:val="0"/>
                <w:color w:val="auto"/>
                <w:spacing w:val="0"/>
                <w:kern w:val="2"/>
                <w:sz w:val="28"/>
                <w:szCs w:val="28"/>
                <w:vertAlign w:val="baseline"/>
                <w:lang w:val="en-US" w:eastAsia="zh-CN" w:bidi="ar-SA"/>
              </w:rPr>
              <w:t>1.534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left"/>
              <w:textAlignment w:val="auto"/>
              <w:rPr>
                <w:rFonts w:hint="default" w:ascii="Times New Roman"/>
                <w:sz w:val="24"/>
                <w:lang w:val="en-US" w:eastAsia="zh-CN"/>
              </w:rPr>
            </w:pPr>
            <w:r>
              <w:rPr>
                <w:rFonts w:hint="eastAsia" w:asciiTheme="minorEastAsia" w:hAnsiTheme="minorEastAsia" w:eastAsiaTheme="minorEastAsia" w:cstheme="minorEastAsia"/>
                <w:b w:val="0"/>
                <w:bCs w:val="0"/>
                <w:i w:val="0"/>
                <w:iCs w:val="0"/>
                <w:caps w:val="0"/>
                <w:color w:val="auto"/>
                <w:spacing w:val="0"/>
                <w:kern w:val="2"/>
                <w:sz w:val="28"/>
                <w:szCs w:val="28"/>
                <w:vertAlign w:val="baseline"/>
                <w:lang w:val="en-US" w:eastAsia="zh-CN" w:bidi="ar-SA"/>
              </w:rPr>
              <w:t>1.227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left"/>
              <w:textAlignment w:val="auto"/>
              <w:rPr>
                <w:rFonts w:hint="default" w:ascii="Times New Roman"/>
                <w:sz w:val="24"/>
                <w:lang w:val="en-US" w:eastAsia="zh-CN"/>
              </w:rPr>
            </w:pPr>
            <w:r>
              <w:rPr>
                <w:rFonts w:hint="eastAsia" w:asciiTheme="minorEastAsia" w:hAnsiTheme="minorEastAsia" w:eastAsiaTheme="minorEastAsia" w:cstheme="minorEastAsia"/>
                <w:b w:val="0"/>
                <w:bCs w:val="0"/>
                <w:i w:val="0"/>
                <w:iCs w:val="0"/>
                <w:caps w:val="0"/>
                <w:color w:val="auto"/>
                <w:spacing w:val="0"/>
                <w:kern w:val="2"/>
                <w:sz w:val="28"/>
                <w:szCs w:val="28"/>
                <w:vertAlign w:val="baseline"/>
                <w:lang w:val="en-US" w:eastAsia="zh-CN" w:bidi="ar-SA"/>
              </w:rPr>
              <w:t>1.15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sum(C16:N16)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11.593</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16</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阴离子表面活性剂</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0.00943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0.0181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0.0269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0.0145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0.0156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0.0128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0.0121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0.039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0.031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0.0293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sum(C17:N17)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0.23833</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17</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总铁</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0.00508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0.00977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0.01447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0.00207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0.00223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0.00243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0.0128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0.0121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0.00782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0.00626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0.00587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sum(C18:N18)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0.0935</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18</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总铜</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0.00558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0.00827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0.00829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0.00891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0.00971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0.0128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0.0126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0.0121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0.0156</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0.0125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0.0117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sum(C19:N19)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0.12096</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19</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总锌</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0.00472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0.00907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0.01344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0.00373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0.00401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0.00437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0.010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0.010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0.00508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0.00407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0.00381</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sum(C20:N20)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0.0833</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-20</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总铝</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0.0142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0.0274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0.0405</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0.0203</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0.0218</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default"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pPr>
            <w:r>
              <w:rPr>
                <w:rFonts w:hint="eastAsia" w:asciiTheme="minorEastAsia" w:hAnsiTheme="minorEastAsia" w:eastAsiaTheme="minorEastAsia" w:cstheme="minorEastAsia"/>
                <w:b w:val="0"/>
                <w:bCs w:val="0"/>
                <w:i w:val="0"/>
                <w:iCs w:val="0"/>
                <w:caps w:val="0"/>
                <w:color w:val="auto"/>
                <w:spacing w:val="0"/>
                <w:kern w:val="2"/>
                <w:sz w:val="24"/>
                <w:szCs w:val="24"/>
                <w:vertAlign w:val="baseline"/>
                <w:lang w:val="en-US" w:eastAsia="zh-CN" w:bidi="ar-SA"/>
              </w:rPr>
              <w:t>0.0237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0.0784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default" w:ascii="Times New Roman"/>
                <w:sz w:val="24"/>
                <w:szCs w:val="24"/>
                <w:lang w:val="en-US" w:eastAsia="zh-CN"/>
              </w:rPr>
              <w:t>0.077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0.074</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0.0289</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0.0232</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0.0217</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sz w:val="24"/>
                <w:szCs w:val="24"/>
                <w:lang w:val="en-US" w:eastAsia="zh-CN"/>
              </w:rPr>
            </w:pPr>
            <w:r>
              <w:rPr>
                <w:rFonts w:hint="default" w:ascii="Times New Roman"/>
                <w:sz w:val="24"/>
                <w:szCs w:val="24"/>
                <w:lang w:val="en-US" w:eastAsia="zh-CN"/>
              </w:rPr>
              <w:fldChar w:fldCharType="begin"/>
            </w:r>
            <w:r>
              <w:rPr>
                <w:rFonts w:hint="default" w:ascii="Times New Roman"/>
                <w:sz w:val="24"/>
                <w:szCs w:val="24"/>
                <w:lang w:val="en-US" w:eastAsia="zh-CN"/>
              </w:rPr>
              <w:instrText xml:space="preserve"> = sum(C21:N21) \* MERGEFORMAT </w:instrText>
            </w:r>
            <w:r>
              <w:rPr>
                <w:rFonts w:hint="default" w:ascii="Times New Roman"/>
                <w:sz w:val="24"/>
                <w:szCs w:val="24"/>
                <w:lang w:val="en-US" w:eastAsia="zh-CN"/>
              </w:rPr>
              <w:fldChar w:fldCharType="separate"/>
            </w:r>
            <w:r>
              <w:rPr>
                <w:rFonts w:hint="default" w:ascii="Times New Roman"/>
                <w:sz w:val="24"/>
                <w:szCs w:val="24"/>
                <w:lang w:val="en-US" w:eastAsia="zh-CN"/>
              </w:rPr>
              <w:t>0.4511</w:t>
            </w:r>
            <w:r>
              <w:rPr>
                <w:rFonts w:hint="default" w:ascii="Times New Roman"/>
                <w:sz w:val="24"/>
                <w:szCs w:val="24"/>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lang w:val="en-US" w:eastAsia="zh-CN"/>
              </w:rPr>
            </w:pPr>
            <w:r>
              <w:rPr>
                <w:rFonts w:hint="eastAsia" w:ascii="Times New Roman"/>
                <w:sz w:val="24"/>
                <w:lang w:val="en-US" w:eastAsia="zh-CN"/>
              </w:rPr>
              <w:t>21</w:t>
            </w:r>
          </w:p>
        </w:tc>
        <w:tc>
          <w:tcPr>
            <w:tcW w:w="145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lang w:val="en-US" w:eastAsia="zh-CN"/>
              </w:rPr>
            </w:pPr>
            <w:r>
              <w:rPr>
                <w:rFonts w:hint="eastAsia" w:ascii="Times New Roman"/>
                <w:sz w:val="24"/>
                <w:lang w:val="en-US" w:eastAsia="zh-CN"/>
              </w:rPr>
              <w:t>烷基汞</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c>
          <w:tcPr>
            <w:tcW w:w="106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ascii="Times New Roman"/>
                <w:sz w:val="24"/>
                <w:szCs w:val="24"/>
                <w:lang w:val="en-US" w:eastAsia="zh-CN"/>
              </w:rPr>
            </w:pPr>
            <w:r>
              <w:rPr>
                <w:rFonts w:hint="eastAsia" w:ascii="Times New Roman"/>
                <w:sz w:val="24"/>
                <w:szCs w:val="24"/>
                <w:lang w:val="en-US" w:eastAsia="zh-CN"/>
              </w:rPr>
              <w:t>0</w:t>
            </w:r>
          </w:p>
        </w:tc>
      </w:tr>
    </w:tbl>
    <w:p>
      <w:pPr>
        <w:rPr>
          <w:rFonts w:hint="default" w:ascii="Times New Roman"/>
          <w:sz w:val="24"/>
          <w:lang w:val="en-US" w:eastAsia="zh-CN"/>
        </w:rPr>
        <w:sectPr>
          <w:pgSz w:w="16838" w:h="11906" w:orient="landscape"/>
          <w:pgMar w:top="850" w:right="1440" w:bottom="567" w:left="1440" w:header="851" w:footer="992" w:gutter="0"/>
          <w:cols w:space="0" w:num="1"/>
          <w:rtlGutter w:val="0"/>
          <w:docGrid w:type="lines" w:linePitch="312" w:charSpace="0"/>
        </w:sectPr>
      </w:pPr>
    </w:p>
    <w:p>
      <w:pPr>
        <w:tabs>
          <w:tab w:val="left" w:pos="313"/>
        </w:tabs>
        <w:bidi w:val="0"/>
        <w:jc w:val="left"/>
        <w:rPr>
          <w:rFonts w:hint="default"/>
          <w:lang w:val="en-US" w:eastAsia="zh-CN"/>
        </w:rPr>
        <w:sectPr>
          <w:pgSz w:w="16838" w:h="11906" w:orient="landscape"/>
          <w:pgMar w:top="1800" w:right="1440" w:bottom="1800" w:left="1440" w:header="851" w:footer="992" w:gutter="0"/>
          <w:cols w:space="425" w:num="1"/>
          <w:docGrid w:type="lines" w:linePitch="312" w:charSpace="0"/>
        </w:sectPr>
      </w:pPr>
    </w:p>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sz w:val="28"/>
          <w:szCs w:val="28"/>
          <w:lang w:val="en-US" w:eastAsia="zh-CN"/>
        </w:rPr>
      </w:pPr>
      <w:r>
        <w:rPr>
          <w:rFonts w:hint="eastAsia" w:ascii="Times New Roman"/>
          <w:sz w:val="28"/>
          <w:szCs w:val="28"/>
          <w:lang w:val="en-US" w:eastAsia="zh-CN"/>
        </w:rPr>
        <w:t>六、一般固体废物及危险废物产生处置情况</w:t>
      </w:r>
    </w:p>
    <w:p>
      <w:pPr>
        <w:spacing w:line="440" w:lineRule="exact"/>
        <w:outlineLvl w:val="1"/>
        <w:rPr>
          <w:rFonts w:hint="default" w:ascii="Times New Roman" w:hAnsi="Times New Roman" w:eastAsia="宋体" w:cs="宋体"/>
          <w:color w:val="000000"/>
          <w:kern w:val="0"/>
          <w:sz w:val="28"/>
          <w:szCs w:val="28"/>
          <w:lang w:val="en-US" w:eastAsia="zh-CN" w:bidi="ar-SA"/>
        </w:rPr>
      </w:pPr>
      <w:r>
        <w:rPr>
          <w:rFonts w:hint="eastAsia" w:ascii="Times New Roman" w:hAnsi="Times New Roman" w:eastAsia="宋体" w:cs="宋体"/>
          <w:color w:val="000000"/>
          <w:kern w:val="0"/>
          <w:sz w:val="28"/>
          <w:szCs w:val="28"/>
          <w:lang w:val="en-US" w:eastAsia="zh-CN" w:bidi="ar-SA"/>
        </w:rPr>
        <w:t>6.1固体废物生产处置</w:t>
      </w:r>
    </w:p>
    <w:p>
      <w:pPr>
        <w:spacing w:line="440" w:lineRule="exact"/>
        <w:ind w:firstLine="720" w:firstLineChars="300"/>
        <w:outlineLvl w:val="1"/>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lang w:val="en-US" w:eastAsia="zh-CN" w:bidi="ar-SA"/>
        </w:rPr>
        <w:t>污水厂压泥采用的板框压泥机，压出的污泥含水率小于等于80%</w:t>
      </w:r>
    </w:p>
    <w:p>
      <w:pPr>
        <w:spacing w:line="440" w:lineRule="exact"/>
        <w:ind w:firstLine="720" w:firstLineChars="300"/>
        <w:outlineLvl w:val="1"/>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lang w:val="en-US" w:eastAsia="zh-CN" w:bidi="ar-SA"/>
        </w:rPr>
        <w:t>污水厂的产生的污泥有相应台账，处置后的污泥去向、数量均有相应联单，目前处置污泥单位：眉山乾丰基业建材有限公司，有环评批复可以处理污水厂的生活污泥。</w:t>
      </w:r>
    </w:p>
    <w:p>
      <w:pPr>
        <w:spacing w:line="440" w:lineRule="exact"/>
        <w:ind w:firstLine="720" w:firstLineChars="300"/>
        <w:outlineLvl w:val="1"/>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lang w:val="en-US" w:eastAsia="zh-CN" w:bidi="ar-SA"/>
        </w:rPr>
        <w:t>2023.1-2023.12月污泥安全处置率达到规划目标。</w:t>
      </w:r>
    </w:p>
    <w:p>
      <w:pPr>
        <w:spacing w:line="440" w:lineRule="exact"/>
        <w:ind w:firstLine="720" w:firstLineChars="300"/>
        <w:outlineLvl w:val="1"/>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lang w:val="en-US" w:eastAsia="zh-CN" w:bidi="ar-SA"/>
        </w:rPr>
        <w:t>一般固体废物污泥管理：2023年1月-2023年12月生产污泥1298方，上年度剩余6方，今年处置1200方，处理单价320元/方，截止2023年12月31日目前库存104方左右，管理台账，处置协议，处置联单完善，储存现场冲洗整理干净，标识标牌清晰。</w:t>
      </w:r>
    </w:p>
    <w:p>
      <w:pPr>
        <w:spacing w:line="440" w:lineRule="exact"/>
        <w:outlineLvl w:val="1"/>
        <w:rPr>
          <w:rFonts w:hint="eastAsia" w:ascii="Times New Roman" w:hAnsi="Times New Roman" w:eastAsia="宋体" w:cs="宋体"/>
          <w:color w:val="000000"/>
          <w:kern w:val="0"/>
          <w:sz w:val="28"/>
          <w:szCs w:val="28"/>
          <w:lang w:val="en-US" w:eastAsia="zh-CN" w:bidi="ar-SA"/>
        </w:rPr>
      </w:pPr>
      <w:r>
        <w:rPr>
          <w:rFonts w:hint="eastAsia" w:ascii="Times New Roman" w:hAnsi="Times New Roman" w:eastAsia="宋体" w:cs="宋体"/>
          <w:color w:val="000000"/>
          <w:kern w:val="0"/>
          <w:sz w:val="28"/>
          <w:szCs w:val="28"/>
          <w:lang w:val="en-US" w:eastAsia="zh-CN" w:bidi="ar-SA"/>
        </w:rPr>
        <w:t>6.2危险废物生产处置</w:t>
      </w:r>
    </w:p>
    <w:p>
      <w:pPr>
        <w:spacing w:line="440" w:lineRule="exact"/>
        <w:ind w:firstLine="720" w:firstLineChars="300"/>
        <w:outlineLvl w:val="1"/>
        <w:rPr>
          <w:rFonts w:hint="eastAsia" w:ascii="Times New Roman"/>
          <w:sz w:val="24"/>
          <w:lang w:val="en-US" w:eastAsia="zh-CN"/>
        </w:rPr>
      </w:pPr>
      <w:r>
        <w:rPr>
          <w:rFonts w:hint="eastAsia" w:ascii="Times New Roman" w:hAnsi="Times New Roman" w:eastAsia="宋体" w:cs="宋体"/>
          <w:color w:val="000000"/>
          <w:kern w:val="0"/>
          <w:sz w:val="24"/>
          <w:szCs w:val="24"/>
          <w:lang w:val="en-US" w:eastAsia="zh-CN" w:bidi="ar-SA"/>
        </w:rPr>
        <w:t>危险废物实验室废液代码HW49，目前处置危废单位为四川省中明环境治理有限公司，2022年结余0.77吨，2023年1-12月产生0.83吨，2023年转3月转移0.93吨，12月转移0.63吨截止2023年12月31日库存0.04吨。按要求在固废系统申报了2023危险废物年度管理计划，并向生态环境局提交备案，建立了危险废物管理台账，按要求储存危废，按要求转移处置危废。</w:t>
      </w:r>
    </w:p>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sz w:val="24"/>
          <w:lang w:val="en-US" w:eastAsia="zh-CN"/>
        </w:rPr>
      </w:pPr>
      <w:r>
        <w:rPr>
          <w:rFonts w:hint="eastAsia" w:ascii="Times New Roman"/>
          <w:sz w:val="28"/>
          <w:szCs w:val="28"/>
          <w:lang w:val="en-US" w:eastAsia="zh-CN"/>
        </w:rPr>
        <w:t>七、结论</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sz w:val="24"/>
          <w:lang w:val="en-US" w:eastAsia="zh-CN"/>
        </w:rPr>
      </w:pPr>
      <w:r>
        <w:rPr>
          <w:rFonts w:hint="eastAsia" w:ascii="Times New Roman"/>
          <w:sz w:val="24"/>
          <w:lang w:val="en-US" w:eastAsia="zh-CN"/>
        </w:rPr>
        <w:t>眉山市派普污水处理有限公司在2023年度运行过程中:污水治理设施全部运转正常，无异常情况发生，累计处理污水3029459吨。</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default" w:ascii="Times New Roman"/>
          <w:sz w:val="24"/>
          <w:lang w:val="en-US" w:eastAsia="zh-CN"/>
        </w:rPr>
        <w:t>自行监测情况:</w:t>
      </w:r>
      <w:r>
        <w:rPr>
          <w:rFonts w:hint="eastAsia" w:ascii="Times New Roman"/>
          <w:sz w:val="24"/>
          <w:lang w:val="en-US" w:eastAsia="zh-CN"/>
        </w:rPr>
        <w:t>2023</w:t>
      </w:r>
      <w:r>
        <w:rPr>
          <w:rFonts w:hint="default" w:ascii="Times New Roman"/>
          <w:sz w:val="24"/>
          <w:lang w:val="en-US" w:eastAsia="zh-CN"/>
        </w:rPr>
        <w:t xml:space="preserve">年全年监测频次和监测指标(因子)满足《排污许可证申请与核发技术规范水处理(试行)》(HI978-2018)中相关要求。废水、废气实际排放量按照在线监控自动监测数据及手工检测数据(含派普污水处理有限公司自行检测数据及委托其他有资质的检测机构的监测数据)如实填报。 </w:t>
      </w:r>
      <w:r>
        <w:rPr>
          <w:rFonts w:hint="eastAsia" w:ascii="Times New Roman"/>
          <w:sz w:val="24"/>
          <w:lang w:val="en-US" w:eastAsia="zh-CN"/>
        </w:rPr>
        <w:t>2023</w:t>
      </w:r>
      <w:r>
        <w:rPr>
          <w:rFonts w:hint="default" w:ascii="Times New Roman"/>
          <w:sz w:val="24"/>
          <w:lang w:val="en-US" w:eastAsia="zh-CN"/>
        </w:rPr>
        <w:t>年全年的废水、废气污染物日排放浓度及排放量均满足许可排放要求。</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污染物排放情况：2023</w:t>
      </w:r>
      <w:r>
        <w:rPr>
          <w:rFonts w:hint="default" w:ascii="Times New Roman"/>
          <w:sz w:val="24"/>
          <w:lang w:val="en-US" w:eastAsia="zh-CN"/>
        </w:rPr>
        <w:t>年眉山市派普污水处理有限公司化学需氧量许可排放量为182.5 吨，实际排放量为</w:t>
      </w:r>
      <w:r>
        <w:rPr>
          <w:rFonts w:hint="eastAsia" w:ascii="Times New Roman"/>
          <w:sz w:val="24"/>
          <w:lang w:val="en-US" w:eastAsia="zh-CN"/>
        </w:rPr>
        <w:t>26.833</w:t>
      </w:r>
      <w:r>
        <w:rPr>
          <w:rFonts w:hint="default" w:ascii="Times New Roman"/>
          <w:sz w:val="24"/>
          <w:lang w:val="en-US" w:eastAsia="zh-CN"/>
        </w:rPr>
        <w:t>吨:氨氮许可排放总量为18.25吨，实际排放量为</w:t>
      </w:r>
      <w:r>
        <w:rPr>
          <w:rFonts w:hint="eastAsia" w:ascii="Times New Roman"/>
          <w:sz w:val="24"/>
          <w:lang w:val="en-US" w:eastAsia="zh-CN"/>
        </w:rPr>
        <w:t>0.556</w:t>
      </w:r>
      <w:r>
        <w:rPr>
          <w:rFonts w:hint="default" w:ascii="Times New Roman"/>
          <w:sz w:val="24"/>
          <w:lang w:val="en-US" w:eastAsia="zh-CN"/>
        </w:rPr>
        <w:t>吨:总氮许可排放量为54.75吨，实际排放量为</w:t>
      </w:r>
      <w:r>
        <w:rPr>
          <w:rFonts w:hint="eastAsia" w:ascii="Times New Roman"/>
          <w:sz w:val="24"/>
          <w:lang w:val="en-US" w:eastAsia="zh-CN"/>
        </w:rPr>
        <w:t>30.333</w:t>
      </w:r>
      <w:r>
        <w:rPr>
          <w:rFonts w:hint="default" w:ascii="Times New Roman"/>
          <w:sz w:val="24"/>
          <w:lang w:val="en-US" w:eastAsia="zh-CN"/>
        </w:rPr>
        <w:t>吨:总磷许可排放量为1.825吨，实际排放量为</w:t>
      </w:r>
      <w:r>
        <w:rPr>
          <w:rFonts w:hint="eastAsia" w:ascii="Times New Roman"/>
          <w:sz w:val="24"/>
          <w:lang w:val="en-US" w:eastAsia="zh-CN"/>
        </w:rPr>
        <w:t>0.629</w:t>
      </w:r>
      <w:r>
        <w:rPr>
          <w:rFonts w:hint="default" w:ascii="Times New Roman"/>
          <w:sz w:val="24"/>
          <w:lang w:val="en-US" w:eastAsia="zh-CN"/>
        </w:rPr>
        <w:t>吨，均满足排放要求。废水、废气排放浓度及排放量均满足许可排放要求</w:t>
      </w:r>
      <w:r>
        <w:rPr>
          <w:rFonts w:hint="eastAsia" w:ascii="Times New Roman"/>
          <w:sz w:val="24"/>
          <w:lang w:val="en-US" w:eastAsia="zh-CN"/>
        </w:rPr>
        <w:t>，</w:t>
      </w:r>
      <w:r>
        <w:rPr>
          <w:rFonts w:hint="default" w:ascii="Times New Roman"/>
          <w:sz w:val="24"/>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eastAsia" w:ascii="Times New Roman"/>
          <w:sz w:val="24"/>
          <w:lang w:val="en-US" w:eastAsia="zh-CN"/>
        </w:rPr>
        <w:t>信息公示情况：2023</w:t>
      </w:r>
      <w:r>
        <w:rPr>
          <w:rFonts w:hint="default" w:ascii="Times New Roman"/>
          <w:sz w:val="24"/>
          <w:lang w:val="en-US" w:eastAsia="zh-CN"/>
        </w:rPr>
        <w:t xml:space="preserve">年，派普污水处理有限公司严格按照排污许可证管理要求以及其他相关要求，及时对厂内污水排放情况进行了填报和公示，具体如下: </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default" w:ascii="Times New Roman"/>
          <w:sz w:val="24"/>
          <w:lang w:val="en-US" w:eastAsia="zh-CN"/>
        </w:rPr>
        <w:t>按要求在全国排污许可证管理信息平台以及四川省污染源监测信息管理与共享平台对排放污水的污染物的自动监测及手工检测数据进行填报和公示;</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default" w:ascii="Times New Roman"/>
          <w:sz w:val="24"/>
          <w:lang w:val="en-US" w:eastAsia="zh-CN"/>
        </w:rPr>
        <w:t>厂区门口 LED 显示屏公布每日在线数据。</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default" w:ascii="Times New Roman"/>
          <w:sz w:val="24"/>
          <w:lang w:val="en-US" w:eastAsia="zh-CN"/>
        </w:rPr>
        <w:t xml:space="preserve">公司网站公示每月第三方监测数据和每月自行检测数据。 </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sz w:val="24"/>
          <w:lang w:val="en-US" w:eastAsia="zh-CN"/>
        </w:rPr>
      </w:pPr>
      <w:r>
        <w:rPr>
          <w:rFonts w:hint="default" w:ascii="Times New Roman"/>
          <w:sz w:val="24"/>
          <w:lang w:val="en-US" w:eastAsia="zh-CN"/>
        </w:rPr>
        <w:t>厂区公告栏公示每月第三方监测数据和每月自行检测数据。 同时还对以</w:t>
      </w:r>
      <w:r>
        <w:rPr>
          <w:rFonts w:hint="eastAsia" w:ascii="Times New Roman"/>
          <w:sz w:val="24"/>
          <w:lang w:val="en-US" w:eastAsia="zh-CN"/>
        </w:rPr>
        <w:t xml:space="preserve">   </w:t>
      </w:r>
      <w:r>
        <w:rPr>
          <w:rFonts w:hint="default" w:ascii="Times New Roman"/>
          <w:sz w:val="24"/>
          <w:lang w:val="en-US" w:eastAsia="zh-CN"/>
        </w:rPr>
        <w:t xml:space="preserve">下内容进行了公开: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（1）</w:t>
      </w:r>
      <w:r>
        <w:rPr>
          <w:rFonts w:hint="default" w:ascii="Times New Roman"/>
          <w:sz w:val="24"/>
          <w:lang w:val="en-US" w:eastAsia="zh-CN"/>
        </w:rPr>
        <w:t>基础信息，包括单位名称、统一社会信用代码等</w:t>
      </w:r>
      <w:r>
        <w:rPr>
          <w:rFonts w:hint="eastAsia" w:ascii="Times New Roman"/>
          <w:sz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（2）</w:t>
      </w:r>
      <w:r>
        <w:rPr>
          <w:rFonts w:hint="default" w:ascii="Times New Roman"/>
          <w:sz w:val="24"/>
          <w:lang w:val="en-US" w:eastAsia="zh-CN"/>
        </w:rPr>
        <w:t>排污信息，包括排放污染物的名称、排放方式、排放口数量、排放</w:t>
      </w:r>
      <w:r>
        <w:rPr>
          <w:rFonts w:hint="eastAsia" w:ascii="Times New Roman"/>
          <w:sz w:val="24"/>
          <w:lang w:val="en-US" w:eastAsia="zh-CN"/>
        </w:rPr>
        <w:t xml:space="preserve">    </w:t>
      </w:r>
      <w:r>
        <w:rPr>
          <w:rFonts w:hint="default" w:ascii="Times New Roman"/>
          <w:sz w:val="24"/>
          <w:lang w:val="en-US" w:eastAsia="zh-CN"/>
        </w:rPr>
        <w:t>浓度和总量等信息</w:t>
      </w:r>
      <w:r>
        <w:rPr>
          <w:rFonts w:hint="eastAsia" w:ascii="Times New Roman"/>
          <w:sz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（3）</w:t>
      </w:r>
      <w:r>
        <w:rPr>
          <w:rFonts w:hint="default" w:ascii="Times New Roman"/>
          <w:sz w:val="24"/>
          <w:lang w:val="en-US" w:eastAsia="zh-CN"/>
        </w:rPr>
        <w:t>防治污染设施的建设和运行情况</w:t>
      </w:r>
      <w:r>
        <w:rPr>
          <w:rFonts w:hint="eastAsia" w:ascii="Times New Roman"/>
          <w:sz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（4）</w:t>
      </w:r>
      <w:r>
        <w:rPr>
          <w:rFonts w:hint="default" w:ascii="Times New Roman"/>
          <w:sz w:val="24"/>
          <w:lang w:val="en-US" w:eastAsia="zh-CN"/>
        </w:rPr>
        <w:t>建设项目环境影响评价及其他环境保护行政许可情况</w:t>
      </w:r>
      <w:r>
        <w:rPr>
          <w:rFonts w:hint="eastAsia" w:ascii="Times New Roman"/>
          <w:sz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（5）</w:t>
      </w:r>
      <w:r>
        <w:rPr>
          <w:rFonts w:hint="default" w:ascii="Times New Roman"/>
          <w:sz w:val="24"/>
          <w:lang w:val="en-US" w:eastAsia="zh-CN"/>
        </w:rPr>
        <w:t>突发环境事件应急预案</w:t>
      </w:r>
      <w:r>
        <w:rPr>
          <w:rFonts w:hint="eastAsia" w:ascii="Times New Roman"/>
          <w:sz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（6）</w:t>
      </w:r>
      <w:r>
        <w:rPr>
          <w:rFonts w:hint="default" w:ascii="Times New Roman"/>
          <w:sz w:val="24"/>
          <w:lang w:val="en-US" w:eastAsia="zh-CN"/>
        </w:rPr>
        <w:t>执行报告中相关内容</w:t>
      </w:r>
      <w:r>
        <w:rPr>
          <w:rFonts w:hint="eastAsia" w:ascii="Times New Roman"/>
          <w:sz w:val="24"/>
          <w:lang w:val="en-US"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420" w:leftChars="200" w:firstLine="480" w:firstLineChars="200"/>
        <w:textAlignment w:val="auto"/>
        <w:rPr>
          <w:rFonts w:hint="default" w:ascii="Times New Roman"/>
          <w:sz w:val="24"/>
          <w:lang w:val="en-US" w:eastAsia="zh-CN"/>
        </w:rPr>
      </w:pPr>
      <w:r>
        <w:rPr>
          <w:rFonts w:hint="eastAsia" w:ascii="Times New Roman"/>
          <w:sz w:val="24"/>
          <w:lang w:val="en-US" w:eastAsia="zh-CN"/>
        </w:rPr>
        <w:t>（7）</w:t>
      </w:r>
      <w:r>
        <w:rPr>
          <w:rFonts w:hint="default" w:ascii="Times New Roman"/>
          <w:sz w:val="24"/>
          <w:lang w:val="en-US" w:eastAsia="zh-CN"/>
        </w:rPr>
        <w:t>其他应当公开的环境信息。 眉山市派普污水处理有限公司信息公开情况满足排污许可证相关要求。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19</w:t>
    </w:r>
    <w:r>
      <w:fldChar w:fldCharType="end"/>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8306"/>
      </w:tabs>
    </w:pPr>
    <w:r>
      <w:rPr>
        <w:rFonts w:hint="eastAsia"/>
      </w:rPr>
      <w:t xml:space="preserve">                                              </w:t>
    </w:r>
    <w:r>
      <w:rPr>
        <w:rFonts w:hint="eastAsia"/>
      </w:rPr>
      <w:tab/>
    </w:r>
    <w:r>
      <w:rPr>
        <w:rFonts w:hint="eastAsia"/>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6979"/>
        <w:tab w:val="clear" w:pos="4153"/>
        <w:tab w:val="clear" w:pos="8306"/>
      </w:tabs>
    </w:pPr>
    <w:r>
      <w:rPr>
        <w:rFonts w:hint="eastAsia"/>
      </w:rPr>
      <w:tab/>
    </w:r>
    <w:r>
      <w:rPr>
        <w:rFonts w:hint="eastAsia"/>
      </w:rPr>
      <w:t xml:space="preserve">7                                              </w:t>
    </w:r>
    <w: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C1FA0"/>
    <w:multiLevelType w:val="singleLevel"/>
    <w:tmpl w:val="A49C1FA0"/>
    <w:lvl w:ilvl="0" w:tentative="0">
      <w:start w:val="1"/>
      <w:numFmt w:val="decimal"/>
      <w:suff w:val="nothing"/>
      <w:lvlText w:val="%1、"/>
      <w:lvlJc w:val="left"/>
    </w:lvl>
  </w:abstractNum>
  <w:abstractNum w:abstractNumId="1">
    <w:nsid w:val="EB705EBC"/>
    <w:multiLevelType w:val="singleLevel"/>
    <w:tmpl w:val="EB705EBC"/>
    <w:lvl w:ilvl="0" w:tentative="0">
      <w:start w:val="27"/>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MzhiODgxMTVjNjQzZGMyZGNlM2JmYTE2Y2FiMDMifQ=="/>
  </w:docVars>
  <w:rsids>
    <w:rsidRoot w:val="202D6A1F"/>
    <w:rsid w:val="0253548C"/>
    <w:rsid w:val="0CC0168C"/>
    <w:rsid w:val="0D31009C"/>
    <w:rsid w:val="111F3391"/>
    <w:rsid w:val="202D6A1F"/>
    <w:rsid w:val="25C123DF"/>
    <w:rsid w:val="28D310BD"/>
    <w:rsid w:val="34BB4A76"/>
    <w:rsid w:val="36EB06D9"/>
    <w:rsid w:val="3A147966"/>
    <w:rsid w:val="3F2078D1"/>
    <w:rsid w:val="46804F5E"/>
    <w:rsid w:val="4CD2700C"/>
    <w:rsid w:val="5A280146"/>
    <w:rsid w:val="63996140"/>
    <w:rsid w:val="66A86BC8"/>
    <w:rsid w:val="73393E9B"/>
    <w:rsid w:val="7AD74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等线" w:hAnsi="等线" w:eastAsia="等线"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toc 3"/>
    <w:basedOn w:val="1"/>
    <w:next w:val="1"/>
    <w:autoRedefine/>
    <w:qFormat/>
    <w:uiPriority w:val="39"/>
    <w:pPr>
      <w:ind w:left="840" w:leftChars="400"/>
    </w:pPr>
  </w:style>
  <w:style w:type="paragraph" w:styleId="7">
    <w:name w:val="Body Text Indent 2"/>
    <w:basedOn w:val="1"/>
    <w:autoRedefine/>
    <w:qFormat/>
    <w:uiPriority w:val="0"/>
    <w:pPr>
      <w:spacing w:line="560" w:lineRule="exact"/>
      <w:ind w:firstLine="573"/>
    </w:pPr>
    <w:rPr>
      <w:rFonts w:ascii="宋体" w:hAnsi="宋体"/>
      <w:sz w:val="28"/>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toc 2"/>
    <w:basedOn w:val="1"/>
    <w:next w:val="1"/>
    <w:autoRedefine/>
    <w:qFormat/>
    <w:uiPriority w:val="39"/>
    <w:pPr>
      <w:ind w:left="420" w:leftChars="200"/>
    </w:p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autoRedefine/>
    <w:qFormat/>
    <w:uiPriority w:val="0"/>
  </w:style>
  <w:style w:type="character" w:styleId="14">
    <w:name w:val="Hyperlink"/>
    <w:autoRedefine/>
    <w:unhideWhenUsed/>
    <w:qFormat/>
    <w:uiPriority w:val="99"/>
    <w:rPr>
      <w:color w:val="0000FF"/>
      <w:u w:val="single"/>
    </w:rPr>
  </w:style>
  <w:style w:type="paragraph" w:customStyle="1" w:styleId="15">
    <w:name w:val="正文_16"/>
    <w:qFormat/>
    <w:uiPriority w:val="0"/>
    <w:pPr>
      <w:widowControl w:val="0"/>
      <w:jc w:val="both"/>
    </w:pPr>
    <w:rPr>
      <w:rFonts w:ascii="Calibri" w:hAnsi="Calibri" w:eastAsia="宋体" w:cs="Times New Roman"/>
      <w:kern w:val="2"/>
      <w:sz w:val="21"/>
      <w:lang w:val="en-US" w:eastAsia="zh-CN" w:bidi="ar-SA"/>
    </w:rPr>
  </w:style>
  <w:style w:type="paragraph" w:customStyle="1" w:styleId="16">
    <w:name w:val="正文_23"/>
    <w:qFormat/>
    <w:uiPriority w:val="0"/>
    <w:pPr>
      <w:widowControl w:val="0"/>
      <w:jc w:val="both"/>
    </w:pPr>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2.bin"/><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15003</Words>
  <Characters>26409</Characters>
  <Lines>0</Lines>
  <Paragraphs>0</Paragraphs>
  <TotalTime>12</TotalTime>
  <ScaleCrop>false</ScaleCrop>
  <LinksUpToDate>false</LinksUpToDate>
  <CharactersWithSpaces>27002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2022-08-31T07:47:00Z</dcterms:created>
  <dc:creator>yanghang</dc:creator>
  <cp:lastModifiedBy>潜水</cp:lastModifiedBy>
  <dcterms:modified xsi:type="dcterms:W3CDTF">2024-03-02T04:34:49Z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5C92C0CCB9C049EF92B5CA70300F5E87_13</vt:lpwstr>
  </property>
</Properties>
</file>